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0527" w14:textId="77777777" w:rsidR="00C026E1" w:rsidRDefault="002653FB" w:rsidP="00221E11">
      <w:r>
        <w:rPr>
          <w:noProof/>
          <w:lang w:eastAsia="en-GB"/>
        </w:rPr>
        <w:drawing>
          <wp:anchor distT="0" distB="0" distL="114300" distR="114300" simplePos="0" relativeHeight="251658240" behindDoc="0" locked="0" layoutInCell="1" allowOverlap="1" wp14:anchorId="3ABF38CC" wp14:editId="54F2B4BD">
            <wp:simplePos x="0" y="0"/>
            <wp:positionH relativeFrom="column">
              <wp:posOffset>3505200</wp:posOffset>
            </wp:positionH>
            <wp:positionV relativeFrom="page">
              <wp:posOffset>711200</wp:posOffset>
            </wp:positionV>
            <wp:extent cx="247650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1143000"/>
                    </a:xfrm>
                    <a:prstGeom prst="rect">
                      <a:avLst/>
                    </a:prstGeom>
                  </pic:spPr>
                </pic:pic>
              </a:graphicData>
            </a:graphic>
            <wp14:sizeRelH relativeFrom="page">
              <wp14:pctWidth>0</wp14:pctWidth>
            </wp14:sizeRelH>
            <wp14:sizeRelV relativeFrom="page">
              <wp14:pctHeight>0</wp14:pctHeight>
            </wp14:sizeRelV>
          </wp:anchor>
        </w:drawing>
      </w:r>
    </w:p>
    <w:p w14:paraId="65CE89D3" w14:textId="77777777" w:rsidR="00C026E1" w:rsidRDefault="00C026E1" w:rsidP="00221E11"/>
    <w:p w14:paraId="3F8A49A1" w14:textId="77777777" w:rsidR="00C026E1" w:rsidRDefault="00C026E1" w:rsidP="00221E11"/>
    <w:p w14:paraId="3737877F" w14:textId="77777777" w:rsidR="00C026E1" w:rsidRDefault="00C026E1" w:rsidP="00221E11"/>
    <w:p w14:paraId="6855DD17" w14:textId="77777777" w:rsidR="00C026E1" w:rsidRDefault="00C026E1" w:rsidP="00221E11"/>
    <w:p w14:paraId="410F9FE9" w14:textId="77777777" w:rsidR="00C026E1" w:rsidRDefault="00C026E1" w:rsidP="00221E11"/>
    <w:p w14:paraId="0F767E58" w14:textId="77777777" w:rsidR="00C026E1" w:rsidRDefault="00C026E1" w:rsidP="00221E11"/>
    <w:p w14:paraId="4FD9C17F" w14:textId="77777777" w:rsidR="002653FB" w:rsidRDefault="002653FB" w:rsidP="00C026E1">
      <w:pPr>
        <w:jc w:val="center"/>
        <w:rPr>
          <w:b/>
          <w:color w:val="00B0F0"/>
          <w:sz w:val="72"/>
          <w:szCs w:val="72"/>
        </w:rPr>
      </w:pPr>
    </w:p>
    <w:p w14:paraId="6FE10292" w14:textId="77777777" w:rsidR="002653FB" w:rsidRDefault="002653FB" w:rsidP="00C026E1">
      <w:pPr>
        <w:jc w:val="center"/>
        <w:rPr>
          <w:b/>
          <w:color w:val="00B0F0"/>
          <w:sz w:val="72"/>
          <w:szCs w:val="72"/>
        </w:rPr>
      </w:pPr>
    </w:p>
    <w:p w14:paraId="262C8849" w14:textId="77777777" w:rsidR="002653FB" w:rsidRDefault="002653FB" w:rsidP="00C026E1">
      <w:pPr>
        <w:jc w:val="center"/>
        <w:rPr>
          <w:b/>
          <w:color w:val="00B0F0"/>
          <w:sz w:val="72"/>
          <w:szCs w:val="72"/>
        </w:rPr>
      </w:pPr>
    </w:p>
    <w:p w14:paraId="15752C11" w14:textId="77777777" w:rsidR="00C026E1" w:rsidRPr="00C026E1" w:rsidRDefault="00C026E1" w:rsidP="00C026E1">
      <w:pPr>
        <w:jc w:val="center"/>
        <w:rPr>
          <w:b/>
          <w:color w:val="00B0F0"/>
          <w:sz w:val="72"/>
          <w:szCs w:val="72"/>
        </w:rPr>
      </w:pPr>
      <w:r w:rsidRPr="00C026E1">
        <w:rPr>
          <w:b/>
          <w:color w:val="00B0F0"/>
          <w:sz w:val="72"/>
          <w:szCs w:val="72"/>
        </w:rPr>
        <w:t>Whistleblowing Guidelines</w:t>
      </w:r>
    </w:p>
    <w:p w14:paraId="4B284FF5" w14:textId="77777777" w:rsidR="00C026E1" w:rsidRPr="00C026E1" w:rsidRDefault="00C026E1" w:rsidP="00C026E1">
      <w:pPr>
        <w:jc w:val="center"/>
        <w:rPr>
          <w:b/>
          <w:color w:val="00B0F0"/>
          <w:sz w:val="72"/>
          <w:szCs w:val="72"/>
        </w:rPr>
      </w:pPr>
    </w:p>
    <w:p w14:paraId="6490444A" w14:textId="77777777" w:rsidR="00C026E1" w:rsidRDefault="00C026E1" w:rsidP="00221E11"/>
    <w:p w14:paraId="0D98C65E" w14:textId="77777777" w:rsidR="00C026E1" w:rsidRDefault="00C026E1" w:rsidP="00221E11"/>
    <w:p w14:paraId="38FEC4D0" w14:textId="77777777" w:rsidR="00C026E1" w:rsidRDefault="00C026E1" w:rsidP="00221E11"/>
    <w:p w14:paraId="20D1300A" w14:textId="77777777" w:rsidR="00C026E1" w:rsidRDefault="00C026E1" w:rsidP="00221E11"/>
    <w:p w14:paraId="142CA642" w14:textId="77777777" w:rsidR="00C026E1" w:rsidRDefault="00C026E1" w:rsidP="00221E11"/>
    <w:p w14:paraId="0FF2F56A" w14:textId="77777777" w:rsidR="00C026E1" w:rsidRDefault="00C026E1" w:rsidP="00221E11"/>
    <w:p w14:paraId="76BDA943" w14:textId="77777777" w:rsidR="00C026E1" w:rsidRDefault="00C026E1" w:rsidP="00221E11"/>
    <w:p w14:paraId="651373A9" w14:textId="77777777" w:rsidR="00C026E1" w:rsidRDefault="00C026E1" w:rsidP="00221E11"/>
    <w:p w14:paraId="36491235" w14:textId="77777777" w:rsidR="00C026E1" w:rsidRDefault="00C026E1" w:rsidP="00221E11"/>
    <w:p w14:paraId="2C4C3FBD" w14:textId="77777777" w:rsidR="00C026E1" w:rsidRDefault="00C026E1" w:rsidP="00221E11"/>
    <w:p w14:paraId="04361041" w14:textId="77777777" w:rsidR="00C026E1" w:rsidRDefault="00C026E1" w:rsidP="00221E11"/>
    <w:p w14:paraId="291A31E1" w14:textId="77777777" w:rsidR="00C026E1" w:rsidRDefault="00C026E1" w:rsidP="00221E11"/>
    <w:p w14:paraId="6CF85B47" w14:textId="77777777" w:rsidR="00C026E1" w:rsidRDefault="00C026E1" w:rsidP="00221E11"/>
    <w:p w14:paraId="0ED2AB22" w14:textId="77777777" w:rsidR="00C026E1" w:rsidRDefault="00C026E1" w:rsidP="00221E11"/>
    <w:p w14:paraId="42FBE00A" w14:textId="77777777" w:rsidR="00C026E1" w:rsidRDefault="00C026E1" w:rsidP="00221E11"/>
    <w:p w14:paraId="53CEAB4F" w14:textId="77777777" w:rsidR="00C026E1" w:rsidRDefault="00C026E1" w:rsidP="00221E11"/>
    <w:p w14:paraId="3A8EE112" w14:textId="77777777" w:rsidR="00C026E1" w:rsidRDefault="00C026E1" w:rsidP="00221E11"/>
    <w:p w14:paraId="165D548C" w14:textId="77777777" w:rsidR="00C026E1" w:rsidRDefault="00C026E1" w:rsidP="00221E11"/>
    <w:p w14:paraId="15812CA5" w14:textId="77777777" w:rsidR="00C026E1" w:rsidRDefault="00C026E1" w:rsidP="00221E11"/>
    <w:p w14:paraId="179A68BF" w14:textId="77777777" w:rsidR="00C026E1" w:rsidRDefault="00C026E1" w:rsidP="00221E11"/>
    <w:p w14:paraId="19B120B6" w14:textId="77777777" w:rsidR="00C026E1" w:rsidRDefault="00C026E1" w:rsidP="00221E11"/>
    <w:p w14:paraId="3B4097DF" w14:textId="77777777" w:rsidR="00C026E1" w:rsidRDefault="00C026E1" w:rsidP="00221E11"/>
    <w:p w14:paraId="380F10DE" w14:textId="77777777" w:rsidR="00C026E1" w:rsidRDefault="00C026E1" w:rsidP="00221E11"/>
    <w:p w14:paraId="3506D9BC" w14:textId="77777777" w:rsidR="00C026E1" w:rsidRDefault="00C026E1" w:rsidP="00221E11"/>
    <w:p w14:paraId="62DBC6E7" w14:textId="77777777" w:rsidR="00C026E1" w:rsidRDefault="00C026E1" w:rsidP="00221E11"/>
    <w:p w14:paraId="246A824F" w14:textId="77777777" w:rsidR="00C026E1" w:rsidRDefault="00C026E1" w:rsidP="00221E11"/>
    <w:p w14:paraId="2515C3E1" w14:textId="77777777" w:rsidR="00C026E1" w:rsidRDefault="00C026E1" w:rsidP="00221E11"/>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774"/>
      </w:tblGrid>
      <w:tr w:rsidR="00C026E1" w:rsidRPr="00C026E1" w14:paraId="5565C005" w14:textId="77777777" w:rsidTr="008676AA">
        <w:trPr>
          <w:cantSplit/>
          <w:trHeight w:val="1533"/>
          <w:jc w:val="center"/>
        </w:trPr>
        <w:tc>
          <w:tcPr>
            <w:tcW w:w="1188" w:type="dxa"/>
            <w:textDirection w:val="btLr"/>
          </w:tcPr>
          <w:p w14:paraId="4F084489" w14:textId="77777777" w:rsidR="00C026E1" w:rsidRPr="00C026E1" w:rsidRDefault="00C026E1" w:rsidP="00C026E1">
            <w:pPr>
              <w:spacing w:after="160" w:line="259" w:lineRule="auto"/>
              <w:rPr>
                <w:b/>
                <w:color w:val="auto"/>
              </w:rPr>
            </w:pPr>
          </w:p>
          <w:p w14:paraId="0B3A25A6" w14:textId="77777777" w:rsidR="00C026E1" w:rsidRPr="00C026E1" w:rsidRDefault="00C026E1" w:rsidP="00C026E1">
            <w:pPr>
              <w:spacing w:after="160" w:line="259" w:lineRule="auto"/>
              <w:rPr>
                <w:b/>
                <w:color w:val="auto"/>
              </w:rPr>
            </w:pPr>
            <w:r w:rsidRPr="00C026E1">
              <w:rPr>
                <w:b/>
                <w:color w:val="auto"/>
              </w:rPr>
              <w:t xml:space="preserve">       TITLE</w:t>
            </w:r>
          </w:p>
        </w:tc>
        <w:tc>
          <w:tcPr>
            <w:tcW w:w="8774" w:type="dxa"/>
          </w:tcPr>
          <w:p w14:paraId="50C2F7AB" w14:textId="77777777" w:rsidR="00C026E1" w:rsidRPr="00C026E1" w:rsidRDefault="00C026E1" w:rsidP="00C026E1">
            <w:pPr>
              <w:spacing w:after="160" w:line="259" w:lineRule="auto"/>
              <w:rPr>
                <w:color w:val="auto"/>
              </w:rPr>
            </w:pPr>
            <w:bookmarkStart w:id="0" w:name="_Toc271713823"/>
          </w:p>
          <w:p w14:paraId="62A434F5" w14:textId="77777777" w:rsidR="00C026E1" w:rsidRPr="00C026E1" w:rsidRDefault="00C026E1" w:rsidP="00C026E1">
            <w:pPr>
              <w:spacing w:after="160" w:line="259" w:lineRule="auto"/>
              <w:rPr>
                <w:color w:val="auto"/>
              </w:rPr>
            </w:pPr>
            <w:r w:rsidRPr="00C026E1">
              <w:rPr>
                <w:color w:val="auto"/>
              </w:rPr>
              <w:t>Title:</w:t>
            </w:r>
            <w:bookmarkEnd w:id="0"/>
            <w:r w:rsidRPr="00C026E1">
              <w:rPr>
                <w:color w:val="auto"/>
              </w:rPr>
              <w:t xml:space="preserve">   </w:t>
            </w:r>
            <w:r w:rsidR="00A3597F">
              <w:rPr>
                <w:color w:val="auto"/>
              </w:rPr>
              <w:t xml:space="preserve">   </w:t>
            </w:r>
            <w:r w:rsidR="00A3597F" w:rsidRPr="00A3597F">
              <w:rPr>
                <w:color w:val="auto"/>
              </w:rPr>
              <w:t>Whistleblowing Guidance</w:t>
            </w:r>
          </w:p>
          <w:p w14:paraId="5090930A" w14:textId="5699E7E2" w:rsidR="00C026E1" w:rsidRPr="00C026E1" w:rsidRDefault="00AA1F2D" w:rsidP="00C026E1">
            <w:pPr>
              <w:spacing w:after="160" w:line="259" w:lineRule="auto"/>
              <w:rPr>
                <w:color w:val="auto"/>
              </w:rPr>
            </w:pPr>
            <w:r>
              <w:rPr>
                <w:color w:val="auto"/>
              </w:rPr>
              <w:t>Version: 2</w:t>
            </w:r>
            <w:r w:rsidR="00A3597F">
              <w:rPr>
                <w:color w:val="auto"/>
              </w:rPr>
              <w:t>.</w:t>
            </w:r>
            <w:r w:rsidR="00DD311D">
              <w:rPr>
                <w:color w:val="auto"/>
              </w:rPr>
              <w:t>1</w:t>
            </w:r>
          </w:p>
        </w:tc>
      </w:tr>
      <w:tr w:rsidR="00C026E1" w:rsidRPr="00C026E1" w14:paraId="6C055F3F" w14:textId="77777777" w:rsidTr="008676AA">
        <w:trPr>
          <w:cantSplit/>
          <w:trHeight w:val="1922"/>
          <w:jc w:val="center"/>
        </w:trPr>
        <w:tc>
          <w:tcPr>
            <w:tcW w:w="1188" w:type="dxa"/>
            <w:textDirection w:val="btLr"/>
          </w:tcPr>
          <w:p w14:paraId="3B847468" w14:textId="77777777" w:rsidR="00C026E1" w:rsidRPr="00C026E1" w:rsidRDefault="00C026E1" w:rsidP="00C026E1">
            <w:pPr>
              <w:spacing w:after="160" w:line="259" w:lineRule="auto"/>
              <w:rPr>
                <w:b/>
                <w:color w:val="auto"/>
              </w:rPr>
            </w:pPr>
          </w:p>
          <w:p w14:paraId="63728588" w14:textId="77777777" w:rsidR="00C026E1" w:rsidRPr="00C026E1" w:rsidRDefault="00C026E1" w:rsidP="00C026E1">
            <w:pPr>
              <w:spacing w:after="160" w:line="259" w:lineRule="auto"/>
              <w:jc w:val="center"/>
              <w:rPr>
                <w:b/>
                <w:color w:val="auto"/>
              </w:rPr>
            </w:pPr>
            <w:r w:rsidRPr="00C026E1">
              <w:rPr>
                <w:b/>
                <w:color w:val="auto"/>
              </w:rPr>
              <w:t>ADAPTATION</w:t>
            </w:r>
          </w:p>
        </w:tc>
        <w:tc>
          <w:tcPr>
            <w:tcW w:w="8774" w:type="dxa"/>
          </w:tcPr>
          <w:p w14:paraId="3B79A4BF" w14:textId="77777777" w:rsidR="00C026E1" w:rsidRPr="00C026E1" w:rsidRDefault="00C026E1" w:rsidP="00A3597F">
            <w:pPr>
              <w:spacing w:after="160" w:line="259" w:lineRule="auto"/>
              <w:rPr>
                <w:color w:val="auto"/>
              </w:rPr>
            </w:pPr>
            <w:r w:rsidRPr="00C026E1">
              <w:rPr>
                <w:color w:val="auto"/>
              </w:rPr>
              <w:t xml:space="preserve">Adapted by: </w:t>
            </w:r>
          </w:p>
          <w:p w14:paraId="44B21445" w14:textId="77777777" w:rsidR="00C026E1" w:rsidRPr="00C026E1" w:rsidRDefault="00C026E1" w:rsidP="00C026E1">
            <w:pPr>
              <w:numPr>
                <w:ilvl w:val="0"/>
                <w:numId w:val="10"/>
              </w:numPr>
              <w:spacing w:after="160" w:line="259" w:lineRule="auto"/>
              <w:rPr>
                <w:color w:val="auto"/>
              </w:rPr>
            </w:pPr>
            <w:r w:rsidRPr="00C026E1">
              <w:rPr>
                <w:color w:val="auto"/>
              </w:rPr>
              <w:t>Jane Timson – Head of Safeguarding and Practice Assurance - RBC</w:t>
            </w:r>
          </w:p>
          <w:p w14:paraId="7EC06F95" w14:textId="77777777" w:rsidR="00C026E1" w:rsidRDefault="00A3597F" w:rsidP="00C026E1">
            <w:pPr>
              <w:numPr>
                <w:ilvl w:val="0"/>
                <w:numId w:val="10"/>
              </w:numPr>
              <w:spacing w:after="160" w:line="259" w:lineRule="auto"/>
              <w:rPr>
                <w:color w:val="auto"/>
              </w:rPr>
            </w:pPr>
            <w:r>
              <w:rPr>
                <w:color w:val="auto"/>
              </w:rPr>
              <w:t>Jayne Todd – Advanced Practitioner – Rochdale Adult Care</w:t>
            </w:r>
          </w:p>
          <w:p w14:paraId="3785A323" w14:textId="77777777" w:rsidR="00A3597F" w:rsidRDefault="00A3597F" w:rsidP="00D10955">
            <w:pPr>
              <w:pStyle w:val="ListParagraph"/>
              <w:numPr>
                <w:ilvl w:val="0"/>
                <w:numId w:val="10"/>
              </w:numPr>
              <w:rPr>
                <w:color w:val="auto"/>
              </w:rPr>
            </w:pPr>
            <w:r>
              <w:rPr>
                <w:color w:val="auto"/>
              </w:rPr>
              <w:t>Gemma Colbeck – A</w:t>
            </w:r>
            <w:r w:rsidRPr="00A3597F">
              <w:rPr>
                <w:color w:val="auto"/>
              </w:rPr>
              <w:t>dvanced Practitioner – Rochdale Adult Care</w:t>
            </w:r>
          </w:p>
          <w:p w14:paraId="1CD040DF" w14:textId="77777777" w:rsidR="00AA1F2D" w:rsidRDefault="00AA1F2D" w:rsidP="00AA1F2D">
            <w:pPr>
              <w:pStyle w:val="ListParagraph"/>
              <w:rPr>
                <w:color w:val="auto"/>
              </w:rPr>
            </w:pPr>
          </w:p>
          <w:p w14:paraId="7C55659A" w14:textId="77777777" w:rsidR="00AA1F2D" w:rsidRPr="00D10955" w:rsidRDefault="00AA1F2D" w:rsidP="00AA1F2D">
            <w:pPr>
              <w:pStyle w:val="ListParagraph"/>
              <w:numPr>
                <w:ilvl w:val="0"/>
                <w:numId w:val="10"/>
              </w:numPr>
              <w:rPr>
                <w:color w:val="auto"/>
              </w:rPr>
            </w:pPr>
            <w:r>
              <w:rPr>
                <w:color w:val="auto"/>
              </w:rPr>
              <w:t xml:space="preserve">George Mark-Bell - </w:t>
            </w:r>
            <w:r w:rsidRPr="00AA1F2D">
              <w:rPr>
                <w:color w:val="auto"/>
              </w:rPr>
              <w:t>Principal Social Worker and Strategic Safeguarding Le</w:t>
            </w:r>
            <w:r>
              <w:rPr>
                <w:color w:val="auto"/>
              </w:rPr>
              <w:t>ad</w:t>
            </w:r>
          </w:p>
          <w:p w14:paraId="7327C6CB" w14:textId="77777777" w:rsidR="00C026E1" w:rsidRPr="00C026E1" w:rsidRDefault="00C026E1" w:rsidP="00C026E1">
            <w:pPr>
              <w:spacing w:after="160" w:line="259" w:lineRule="auto"/>
              <w:ind w:left="720"/>
              <w:contextualSpacing/>
              <w:rPr>
                <w:rFonts w:asciiTheme="minorHAnsi" w:hAnsiTheme="minorHAnsi"/>
                <w:color w:val="auto"/>
                <w:sz w:val="16"/>
                <w:szCs w:val="16"/>
              </w:rPr>
            </w:pPr>
          </w:p>
          <w:p w14:paraId="580251B5" w14:textId="77777777" w:rsidR="00C026E1" w:rsidRPr="00C026E1" w:rsidRDefault="00A3597F" w:rsidP="00C026E1">
            <w:pPr>
              <w:spacing w:after="160" w:line="259" w:lineRule="auto"/>
              <w:rPr>
                <w:color w:val="auto"/>
              </w:rPr>
            </w:pPr>
            <w:r>
              <w:rPr>
                <w:color w:val="auto"/>
              </w:rPr>
              <w:t xml:space="preserve">With thanks to </w:t>
            </w:r>
            <w:r w:rsidR="00D10955">
              <w:rPr>
                <w:color w:val="auto"/>
              </w:rPr>
              <w:t>Gloucester Safeguarding Adults Board for their kind permission for us to adapt their original guidelines.</w:t>
            </w:r>
          </w:p>
        </w:tc>
      </w:tr>
      <w:tr w:rsidR="00C026E1" w:rsidRPr="00C026E1" w14:paraId="4FA2EDE4" w14:textId="77777777" w:rsidTr="008676AA">
        <w:trPr>
          <w:cantSplit/>
          <w:trHeight w:val="2683"/>
          <w:jc w:val="center"/>
        </w:trPr>
        <w:tc>
          <w:tcPr>
            <w:tcW w:w="1188" w:type="dxa"/>
            <w:textDirection w:val="btLr"/>
          </w:tcPr>
          <w:p w14:paraId="2523F391" w14:textId="77777777" w:rsidR="00C026E1" w:rsidRPr="00C026E1" w:rsidRDefault="00C026E1" w:rsidP="00C026E1">
            <w:pPr>
              <w:spacing w:after="160" w:line="259" w:lineRule="auto"/>
              <w:jc w:val="center"/>
              <w:rPr>
                <w:b/>
                <w:color w:val="auto"/>
              </w:rPr>
            </w:pPr>
          </w:p>
          <w:p w14:paraId="6F43C8EE" w14:textId="77777777" w:rsidR="00C026E1" w:rsidRPr="00C026E1" w:rsidRDefault="00C026E1" w:rsidP="00C026E1">
            <w:pPr>
              <w:spacing w:after="160" w:line="259" w:lineRule="auto"/>
              <w:jc w:val="center"/>
              <w:rPr>
                <w:b/>
                <w:color w:val="auto"/>
              </w:rPr>
            </w:pPr>
            <w:r w:rsidRPr="00C026E1">
              <w:rPr>
                <w:b/>
                <w:color w:val="auto"/>
              </w:rPr>
              <w:t>BOARD APROVAL</w:t>
            </w:r>
          </w:p>
        </w:tc>
        <w:tc>
          <w:tcPr>
            <w:tcW w:w="8774" w:type="dxa"/>
          </w:tcPr>
          <w:p w14:paraId="168048B3" w14:textId="77777777" w:rsidR="00C026E1" w:rsidRPr="00C026E1" w:rsidRDefault="00C026E1" w:rsidP="00C026E1">
            <w:pPr>
              <w:spacing w:after="160" w:line="259" w:lineRule="auto"/>
              <w:rPr>
                <w:color w:val="auto"/>
              </w:rPr>
            </w:pPr>
          </w:p>
          <w:p w14:paraId="5271C6C7" w14:textId="77777777" w:rsidR="00C026E1" w:rsidRPr="00C026E1" w:rsidRDefault="00C026E1" w:rsidP="00C026E1">
            <w:pPr>
              <w:spacing w:after="160" w:line="259" w:lineRule="auto"/>
              <w:rPr>
                <w:rFonts w:eastAsia="Calibri"/>
                <w:color w:val="auto"/>
              </w:rPr>
            </w:pPr>
            <w:r w:rsidRPr="00C026E1">
              <w:rPr>
                <w:color w:val="auto"/>
              </w:rPr>
              <w:t xml:space="preserve">Approved by: </w:t>
            </w:r>
            <w:r w:rsidR="00A3597F">
              <w:rPr>
                <w:rFonts w:eastAsia="Calibri"/>
                <w:color w:val="auto"/>
              </w:rPr>
              <w:t>RBSAB Policy and Procedures Sub-Group</w:t>
            </w:r>
          </w:p>
          <w:p w14:paraId="71E3B2A1" w14:textId="77777777" w:rsidR="00C026E1" w:rsidRPr="00C026E1" w:rsidRDefault="00C026E1" w:rsidP="00C026E1">
            <w:pPr>
              <w:spacing w:after="160" w:line="259" w:lineRule="auto"/>
              <w:rPr>
                <w:rFonts w:eastAsia="Calibri"/>
                <w:color w:val="auto"/>
              </w:rPr>
            </w:pPr>
            <w:r w:rsidRPr="00C026E1">
              <w:rPr>
                <w:rFonts w:eastAsia="Calibri"/>
                <w:color w:val="auto"/>
              </w:rPr>
              <w:t xml:space="preserve">Approved by:  Rochdale Borough Safeguarding Adults Board </w:t>
            </w:r>
          </w:p>
          <w:p w14:paraId="4748D1BC" w14:textId="77777777" w:rsidR="00C026E1" w:rsidRPr="00C026E1" w:rsidRDefault="00A3597F" w:rsidP="00C026E1">
            <w:pPr>
              <w:spacing w:after="160" w:line="259" w:lineRule="auto"/>
              <w:rPr>
                <w:color w:val="auto"/>
              </w:rPr>
            </w:pPr>
            <w:r>
              <w:rPr>
                <w:color w:val="auto"/>
              </w:rPr>
              <w:t xml:space="preserve">Approval date: </w:t>
            </w:r>
            <w:r w:rsidR="002653FB">
              <w:rPr>
                <w:color w:val="auto"/>
              </w:rPr>
              <w:t>4</w:t>
            </w:r>
            <w:r w:rsidR="002653FB" w:rsidRPr="002653FB">
              <w:rPr>
                <w:color w:val="auto"/>
                <w:vertAlign w:val="superscript"/>
              </w:rPr>
              <w:t>th</w:t>
            </w:r>
            <w:r w:rsidR="002653FB">
              <w:rPr>
                <w:color w:val="auto"/>
              </w:rPr>
              <w:t xml:space="preserve"> November 2022</w:t>
            </w:r>
          </w:p>
        </w:tc>
      </w:tr>
      <w:tr w:rsidR="00C026E1" w:rsidRPr="00C026E1" w14:paraId="518CA3A9" w14:textId="77777777" w:rsidTr="008676AA">
        <w:trPr>
          <w:cantSplit/>
          <w:trHeight w:val="1545"/>
          <w:jc w:val="center"/>
        </w:trPr>
        <w:tc>
          <w:tcPr>
            <w:tcW w:w="1188" w:type="dxa"/>
            <w:textDirection w:val="btLr"/>
          </w:tcPr>
          <w:p w14:paraId="388D2071" w14:textId="77777777" w:rsidR="00C026E1" w:rsidRPr="00C026E1" w:rsidRDefault="00C026E1" w:rsidP="00C026E1">
            <w:pPr>
              <w:spacing w:after="160" w:line="259" w:lineRule="auto"/>
              <w:rPr>
                <w:b/>
                <w:color w:val="auto"/>
              </w:rPr>
            </w:pPr>
          </w:p>
          <w:p w14:paraId="19225603" w14:textId="77777777" w:rsidR="00C026E1" w:rsidRPr="00C026E1" w:rsidRDefault="00C026E1" w:rsidP="00C026E1">
            <w:pPr>
              <w:spacing w:after="160" w:line="259" w:lineRule="auto"/>
              <w:jc w:val="center"/>
              <w:rPr>
                <w:b/>
                <w:color w:val="auto"/>
              </w:rPr>
            </w:pPr>
            <w:r w:rsidRPr="00C026E1">
              <w:rPr>
                <w:b/>
                <w:color w:val="auto"/>
              </w:rPr>
              <w:t>REVIEW</w:t>
            </w:r>
          </w:p>
        </w:tc>
        <w:tc>
          <w:tcPr>
            <w:tcW w:w="8774" w:type="dxa"/>
          </w:tcPr>
          <w:p w14:paraId="554A6517" w14:textId="77777777" w:rsidR="00C026E1" w:rsidRPr="00C026E1" w:rsidRDefault="00C026E1" w:rsidP="00C026E1">
            <w:pPr>
              <w:spacing w:after="160" w:line="259" w:lineRule="auto"/>
              <w:rPr>
                <w:color w:val="auto"/>
              </w:rPr>
            </w:pPr>
          </w:p>
          <w:p w14:paraId="2214FF72" w14:textId="77777777" w:rsidR="003B6E76" w:rsidRDefault="003B6E76" w:rsidP="00C026E1">
            <w:pPr>
              <w:spacing w:after="160" w:line="259" w:lineRule="auto"/>
              <w:rPr>
                <w:color w:val="auto"/>
              </w:rPr>
            </w:pPr>
            <w:r>
              <w:rPr>
                <w:color w:val="auto"/>
              </w:rPr>
              <w:t>Reviewed: October 2024</w:t>
            </w:r>
          </w:p>
          <w:p w14:paraId="65CBABD9" w14:textId="70464B3D" w:rsidR="00C026E1" w:rsidRPr="00C026E1" w:rsidRDefault="00C026E1" w:rsidP="00C026E1">
            <w:pPr>
              <w:spacing w:after="160" w:line="259" w:lineRule="auto"/>
              <w:rPr>
                <w:color w:val="auto"/>
              </w:rPr>
            </w:pPr>
            <w:r w:rsidRPr="00C026E1">
              <w:rPr>
                <w:color w:val="auto"/>
              </w:rPr>
              <w:t xml:space="preserve">Review Date: </w:t>
            </w:r>
            <w:r w:rsidR="00DD311D" w:rsidRPr="00DD311D">
              <w:rPr>
                <w:color w:val="auto"/>
              </w:rPr>
              <w:t>Upon review in September 2025, a change of process determined this document will be reviewed by guidance owner as/when required. Any updates will be signed off via the RBSAB Confident Practice Subgroup from this date.</w:t>
            </w:r>
          </w:p>
        </w:tc>
      </w:tr>
    </w:tbl>
    <w:p w14:paraId="1B6F5F97" w14:textId="77777777" w:rsidR="00C026E1" w:rsidRDefault="00C026E1" w:rsidP="00221E11"/>
    <w:p w14:paraId="1AB2EB7D" w14:textId="77777777" w:rsidR="00C026E1" w:rsidRDefault="00C026E1" w:rsidP="00221E11"/>
    <w:p w14:paraId="5D00E6C3" w14:textId="77777777" w:rsidR="00C026E1" w:rsidRDefault="00C026E1" w:rsidP="00221E11"/>
    <w:p w14:paraId="06A1A434" w14:textId="77777777" w:rsidR="00C026E1" w:rsidRDefault="00C026E1" w:rsidP="00221E11"/>
    <w:p w14:paraId="02251ECF" w14:textId="77777777" w:rsidR="00C026E1" w:rsidRDefault="00C026E1" w:rsidP="00221E11"/>
    <w:p w14:paraId="651B9C5A" w14:textId="77777777" w:rsidR="00C026E1" w:rsidRDefault="00C026E1" w:rsidP="00221E11"/>
    <w:p w14:paraId="6F4A0887" w14:textId="77777777" w:rsidR="00C026E1" w:rsidRDefault="00C026E1" w:rsidP="00221E11"/>
    <w:p w14:paraId="0636201A" w14:textId="77777777" w:rsidR="00C026E1" w:rsidRDefault="00C026E1" w:rsidP="00221E11"/>
    <w:p w14:paraId="657A3F10" w14:textId="77777777" w:rsidR="00C026E1" w:rsidRDefault="00C026E1" w:rsidP="00221E11"/>
    <w:p w14:paraId="1DD23CCE" w14:textId="77777777" w:rsidR="00C026E1" w:rsidRDefault="00C026E1" w:rsidP="00221E11"/>
    <w:p w14:paraId="25736535" w14:textId="77777777" w:rsidR="00C026E1" w:rsidRDefault="00C026E1" w:rsidP="00221E11"/>
    <w:p w14:paraId="56FE68D6" w14:textId="77777777" w:rsidR="00C026E1" w:rsidRDefault="00C026E1" w:rsidP="00221E11"/>
    <w:p w14:paraId="7908B7A0" w14:textId="77777777" w:rsidR="00D10955" w:rsidRDefault="00D10955" w:rsidP="00221E11"/>
    <w:p w14:paraId="5E7965D1" w14:textId="77777777" w:rsidR="00C026E1" w:rsidRDefault="00C026E1" w:rsidP="00221E11"/>
    <w:p w14:paraId="7243E3F5" w14:textId="77777777" w:rsidR="00221E11" w:rsidRPr="00D10955" w:rsidRDefault="00221E11" w:rsidP="00221E11">
      <w:pPr>
        <w:rPr>
          <w:b/>
          <w:color w:val="00B0F0"/>
          <w:sz w:val="28"/>
          <w:szCs w:val="28"/>
        </w:rPr>
      </w:pPr>
      <w:r w:rsidRPr="00D10955">
        <w:rPr>
          <w:b/>
          <w:color w:val="00B0F0"/>
          <w:sz w:val="28"/>
          <w:szCs w:val="28"/>
        </w:rPr>
        <w:t>Contents</w:t>
      </w:r>
    </w:p>
    <w:p w14:paraId="318D1076" w14:textId="77777777" w:rsidR="00C026E1" w:rsidRDefault="00C026E1" w:rsidP="00221E11"/>
    <w:tbl>
      <w:tblPr>
        <w:tblStyle w:val="TableGrid"/>
        <w:tblW w:w="0" w:type="auto"/>
        <w:tblLook w:val="04A0" w:firstRow="1" w:lastRow="0" w:firstColumn="1" w:lastColumn="0" w:noHBand="0" w:noVBand="1"/>
      </w:tblPr>
      <w:tblGrid>
        <w:gridCol w:w="8217"/>
        <w:gridCol w:w="799"/>
      </w:tblGrid>
      <w:tr w:rsidR="00C026E1" w14:paraId="6AEBFDEB" w14:textId="77777777" w:rsidTr="00C026E1">
        <w:tc>
          <w:tcPr>
            <w:tcW w:w="8217" w:type="dxa"/>
          </w:tcPr>
          <w:p w14:paraId="0BBD4C6C" w14:textId="77777777" w:rsidR="00C026E1" w:rsidRPr="003E515B" w:rsidRDefault="00C026E1" w:rsidP="00C026E1">
            <w:r w:rsidRPr="003E515B">
              <w:t>About Whistleblowing</w:t>
            </w:r>
          </w:p>
        </w:tc>
        <w:tc>
          <w:tcPr>
            <w:tcW w:w="799" w:type="dxa"/>
          </w:tcPr>
          <w:p w14:paraId="78297EA2" w14:textId="77777777" w:rsidR="00C026E1" w:rsidRDefault="000D0362" w:rsidP="000D0362">
            <w:pPr>
              <w:jc w:val="center"/>
            </w:pPr>
            <w:r>
              <w:t>4</w:t>
            </w:r>
          </w:p>
        </w:tc>
      </w:tr>
      <w:tr w:rsidR="00C026E1" w14:paraId="15986DC1" w14:textId="77777777" w:rsidTr="00C026E1">
        <w:tc>
          <w:tcPr>
            <w:tcW w:w="8217" w:type="dxa"/>
          </w:tcPr>
          <w:p w14:paraId="7A78FDF4" w14:textId="77777777" w:rsidR="00C026E1" w:rsidRPr="003E515B" w:rsidRDefault="00C026E1" w:rsidP="00C026E1">
            <w:r w:rsidRPr="003E515B">
              <w:t>Introduction</w:t>
            </w:r>
          </w:p>
        </w:tc>
        <w:tc>
          <w:tcPr>
            <w:tcW w:w="799" w:type="dxa"/>
          </w:tcPr>
          <w:p w14:paraId="0EB374E7" w14:textId="77777777" w:rsidR="00C026E1" w:rsidRDefault="000D0362" w:rsidP="000D0362">
            <w:pPr>
              <w:jc w:val="center"/>
            </w:pPr>
            <w:r>
              <w:t>4</w:t>
            </w:r>
          </w:p>
        </w:tc>
      </w:tr>
      <w:tr w:rsidR="00C026E1" w14:paraId="0BB579E5" w14:textId="77777777" w:rsidTr="00C026E1">
        <w:tc>
          <w:tcPr>
            <w:tcW w:w="8217" w:type="dxa"/>
          </w:tcPr>
          <w:p w14:paraId="13B7428F" w14:textId="77777777" w:rsidR="00C026E1" w:rsidRPr="003E515B" w:rsidRDefault="00C026E1" w:rsidP="00C026E1">
            <w:r w:rsidRPr="003E515B">
              <w:t>Who is this aimed at?</w:t>
            </w:r>
          </w:p>
        </w:tc>
        <w:tc>
          <w:tcPr>
            <w:tcW w:w="799" w:type="dxa"/>
          </w:tcPr>
          <w:p w14:paraId="78811953" w14:textId="77777777" w:rsidR="00C026E1" w:rsidRDefault="000D0362" w:rsidP="000D0362">
            <w:pPr>
              <w:jc w:val="center"/>
            </w:pPr>
            <w:r>
              <w:t>4</w:t>
            </w:r>
          </w:p>
        </w:tc>
      </w:tr>
      <w:tr w:rsidR="00C026E1" w14:paraId="72D9D322" w14:textId="77777777" w:rsidTr="00C026E1">
        <w:tc>
          <w:tcPr>
            <w:tcW w:w="8217" w:type="dxa"/>
          </w:tcPr>
          <w:p w14:paraId="4C11F9AB" w14:textId="77777777" w:rsidR="00C026E1" w:rsidRPr="003E515B" w:rsidRDefault="00C026E1" w:rsidP="00C026E1">
            <w:r w:rsidRPr="003E515B">
              <w:t>What is whistleblowing?</w:t>
            </w:r>
          </w:p>
        </w:tc>
        <w:tc>
          <w:tcPr>
            <w:tcW w:w="799" w:type="dxa"/>
          </w:tcPr>
          <w:p w14:paraId="68A3E6CA" w14:textId="77777777" w:rsidR="00C026E1" w:rsidRDefault="000D0362" w:rsidP="000D0362">
            <w:pPr>
              <w:jc w:val="center"/>
            </w:pPr>
            <w:r>
              <w:t>4</w:t>
            </w:r>
          </w:p>
        </w:tc>
      </w:tr>
      <w:tr w:rsidR="00C026E1" w14:paraId="1A93AC51" w14:textId="77777777" w:rsidTr="00C026E1">
        <w:tc>
          <w:tcPr>
            <w:tcW w:w="8217" w:type="dxa"/>
          </w:tcPr>
          <w:p w14:paraId="2985B3F1" w14:textId="77777777" w:rsidR="00C026E1" w:rsidRPr="003E515B" w:rsidRDefault="00C026E1" w:rsidP="00C026E1">
            <w:r w:rsidRPr="003E515B">
              <w:t>Safeguarding Adults</w:t>
            </w:r>
          </w:p>
        </w:tc>
        <w:tc>
          <w:tcPr>
            <w:tcW w:w="799" w:type="dxa"/>
          </w:tcPr>
          <w:p w14:paraId="0954F04F" w14:textId="77777777" w:rsidR="00C026E1" w:rsidRDefault="000D0362" w:rsidP="000D0362">
            <w:pPr>
              <w:jc w:val="center"/>
            </w:pPr>
            <w:r>
              <w:t>4</w:t>
            </w:r>
          </w:p>
        </w:tc>
      </w:tr>
      <w:tr w:rsidR="00C026E1" w14:paraId="717410F7" w14:textId="77777777" w:rsidTr="00C026E1">
        <w:tc>
          <w:tcPr>
            <w:tcW w:w="8217" w:type="dxa"/>
          </w:tcPr>
          <w:p w14:paraId="2E4659F2" w14:textId="77777777" w:rsidR="00C026E1" w:rsidRPr="003E515B" w:rsidRDefault="00AA1F2D" w:rsidP="00C026E1">
            <w:r>
              <w:t>Value of W</w:t>
            </w:r>
            <w:r w:rsidR="00C026E1" w:rsidRPr="003E515B">
              <w:t>histle</w:t>
            </w:r>
            <w:r>
              <w:t>-</w:t>
            </w:r>
            <w:r w:rsidR="00C026E1" w:rsidRPr="003E515B">
              <w:t>blowers</w:t>
            </w:r>
          </w:p>
        </w:tc>
        <w:tc>
          <w:tcPr>
            <w:tcW w:w="799" w:type="dxa"/>
          </w:tcPr>
          <w:p w14:paraId="5BF56D6F" w14:textId="77777777" w:rsidR="00C026E1" w:rsidRDefault="000D0362" w:rsidP="000D0362">
            <w:pPr>
              <w:jc w:val="center"/>
            </w:pPr>
            <w:r>
              <w:t>4</w:t>
            </w:r>
          </w:p>
        </w:tc>
      </w:tr>
      <w:tr w:rsidR="00C026E1" w14:paraId="6EECA9CE" w14:textId="77777777" w:rsidTr="00C026E1">
        <w:tc>
          <w:tcPr>
            <w:tcW w:w="8217" w:type="dxa"/>
          </w:tcPr>
          <w:p w14:paraId="0CBBC52D" w14:textId="77777777" w:rsidR="00C026E1" w:rsidRPr="003E515B" w:rsidRDefault="00C026E1" w:rsidP="00C026E1">
            <w:r w:rsidRPr="003E515B">
              <w:t>Effective complaints processes</w:t>
            </w:r>
          </w:p>
        </w:tc>
        <w:tc>
          <w:tcPr>
            <w:tcW w:w="799" w:type="dxa"/>
          </w:tcPr>
          <w:p w14:paraId="1A880320" w14:textId="77777777" w:rsidR="00C026E1" w:rsidRDefault="000D0362" w:rsidP="000D0362">
            <w:pPr>
              <w:jc w:val="center"/>
            </w:pPr>
            <w:r>
              <w:t>4</w:t>
            </w:r>
          </w:p>
        </w:tc>
      </w:tr>
      <w:tr w:rsidR="00C026E1" w14:paraId="28E7BF4F" w14:textId="77777777" w:rsidTr="00C026E1">
        <w:tc>
          <w:tcPr>
            <w:tcW w:w="8217" w:type="dxa"/>
          </w:tcPr>
          <w:p w14:paraId="083B331C" w14:textId="77777777" w:rsidR="00C026E1" w:rsidRPr="003E515B" w:rsidRDefault="00C026E1" w:rsidP="00C026E1">
            <w:r w:rsidRPr="003E515B">
              <w:t>Failure to listen</w:t>
            </w:r>
          </w:p>
        </w:tc>
        <w:tc>
          <w:tcPr>
            <w:tcW w:w="799" w:type="dxa"/>
          </w:tcPr>
          <w:p w14:paraId="6224629B" w14:textId="77777777" w:rsidR="00C026E1" w:rsidRDefault="000D0362" w:rsidP="000D0362">
            <w:pPr>
              <w:jc w:val="center"/>
            </w:pPr>
            <w:r>
              <w:t>5</w:t>
            </w:r>
          </w:p>
        </w:tc>
      </w:tr>
      <w:tr w:rsidR="00C026E1" w14:paraId="675710C6" w14:textId="77777777" w:rsidTr="00C026E1">
        <w:tc>
          <w:tcPr>
            <w:tcW w:w="8217" w:type="dxa"/>
          </w:tcPr>
          <w:p w14:paraId="5DA2FBDC" w14:textId="77777777" w:rsidR="00C026E1" w:rsidRPr="003E515B" w:rsidRDefault="00C026E1" w:rsidP="00C026E1">
            <w:r w:rsidRPr="003E515B">
              <w:t>Culture of confidence</w:t>
            </w:r>
          </w:p>
        </w:tc>
        <w:tc>
          <w:tcPr>
            <w:tcW w:w="799" w:type="dxa"/>
          </w:tcPr>
          <w:p w14:paraId="50A50FAC" w14:textId="77777777" w:rsidR="00C026E1" w:rsidRDefault="000D0362" w:rsidP="000D0362">
            <w:pPr>
              <w:jc w:val="center"/>
            </w:pPr>
            <w:r>
              <w:t>5</w:t>
            </w:r>
          </w:p>
        </w:tc>
      </w:tr>
      <w:tr w:rsidR="00C026E1" w14:paraId="433FCD54" w14:textId="77777777" w:rsidTr="00C026E1">
        <w:tc>
          <w:tcPr>
            <w:tcW w:w="8217" w:type="dxa"/>
          </w:tcPr>
          <w:p w14:paraId="122B6D39" w14:textId="77777777" w:rsidR="00C026E1" w:rsidRPr="003E515B" w:rsidRDefault="00C026E1" w:rsidP="00C026E1">
            <w:r w:rsidRPr="003E515B">
              <w:t>Response from colleagues</w:t>
            </w:r>
          </w:p>
        </w:tc>
        <w:tc>
          <w:tcPr>
            <w:tcW w:w="799" w:type="dxa"/>
          </w:tcPr>
          <w:p w14:paraId="2709EFC3" w14:textId="77777777" w:rsidR="00C026E1" w:rsidRDefault="000D0362" w:rsidP="000D0362">
            <w:pPr>
              <w:jc w:val="center"/>
            </w:pPr>
            <w:r>
              <w:t>5</w:t>
            </w:r>
          </w:p>
        </w:tc>
      </w:tr>
      <w:tr w:rsidR="00C026E1" w14:paraId="5864D61A" w14:textId="77777777" w:rsidTr="00C026E1">
        <w:tc>
          <w:tcPr>
            <w:tcW w:w="8217" w:type="dxa"/>
          </w:tcPr>
          <w:p w14:paraId="01B4DFEB" w14:textId="77777777" w:rsidR="00C026E1" w:rsidRPr="003E515B" w:rsidRDefault="00AA1F2D" w:rsidP="00C026E1">
            <w:r>
              <w:t>Response to W</w:t>
            </w:r>
            <w:r w:rsidR="00C026E1" w:rsidRPr="003E515B">
              <w:t>histle</w:t>
            </w:r>
            <w:r>
              <w:t>-</w:t>
            </w:r>
            <w:r w:rsidR="00C026E1" w:rsidRPr="003E515B">
              <w:t>blowers</w:t>
            </w:r>
          </w:p>
        </w:tc>
        <w:tc>
          <w:tcPr>
            <w:tcW w:w="799" w:type="dxa"/>
          </w:tcPr>
          <w:p w14:paraId="12FEEA07" w14:textId="77777777" w:rsidR="00C026E1" w:rsidRDefault="000D0362" w:rsidP="000D0362">
            <w:pPr>
              <w:jc w:val="center"/>
            </w:pPr>
            <w:r>
              <w:t>5</w:t>
            </w:r>
          </w:p>
        </w:tc>
      </w:tr>
      <w:tr w:rsidR="00C026E1" w14:paraId="202CE07A" w14:textId="77777777" w:rsidTr="00C026E1">
        <w:tc>
          <w:tcPr>
            <w:tcW w:w="8217" w:type="dxa"/>
          </w:tcPr>
          <w:p w14:paraId="2F767FD5" w14:textId="77777777" w:rsidR="00C026E1" w:rsidRPr="003E515B" w:rsidRDefault="00C026E1" w:rsidP="00C026E1">
            <w:r w:rsidRPr="003E515B">
              <w:t>Confidentiality</w:t>
            </w:r>
          </w:p>
        </w:tc>
        <w:tc>
          <w:tcPr>
            <w:tcW w:w="799" w:type="dxa"/>
          </w:tcPr>
          <w:p w14:paraId="7012E6CB" w14:textId="77777777" w:rsidR="00C026E1" w:rsidRDefault="000D0362" w:rsidP="000D0362">
            <w:pPr>
              <w:jc w:val="center"/>
            </w:pPr>
            <w:r>
              <w:t>5</w:t>
            </w:r>
          </w:p>
        </w:tc>
      </w:tr>
      <w:tr w:rsidR="00C026E1" w14:paraId="0E88DA73" w14:textId="77777777" w:rsidTr="00C026E1">
        <w:tc>
          <w:tcPr>
            <w:tcW w:w="8217" w:type="dxa"/>
          </w:tcPr>
          <w:p w14:paraId="74AC5CFE" w14:textId="77777777" w:rsidR="00C026E1" w:rsidRPr="003E515B" w:rsidRDefault="00C026E1" w:rsidP="00C026E1">
            <w:r w:rsidRPr="003E515B">
              <w:t>Public Interest Disclosure Act</w:t>
            </w:r>
            <w:r w:rsidR="00AA1F2D">
              <w:t xml:space="preserve"> 1998 (PIDA) and Protection of W</w:t>
            </w:r>
            <w:r w:rsidRPr="003E515B">
              <w:t>histle</w:t>
            </w:r>
            <w:r w:rsidR="00AA1F2D">
              <w:t>-</w:t>
            </w:r>
            <w:r w:rsidRPr="003E515B">
              <w:t>blowers</w:t>
            </w:r>
          </w:p>
        </w:tc>
        <w:tc>
          <w:tcPr>
            <w:tcW w:w="799" w:type="dxa"/>
          </w:tcPr>
          <w:p w14:paraId="137870B7" w14:textId="77777777" w:rsidR="00C026E1" w:rsidRDefault="000D0362" w:rsidP="000D0362">
            <w:pPr>
              <w:jc w:val="center"/>
            </w:pPr>
            <w:r>
              <w:t>5</w:t>
            </w:r>
          </w:p>
        </w:tc>
      </w:tr>
      <w:tr w:rsidR="00C026E1" w14:paraId="31FB8FC6" w14:textId="77777777" w:rsidTr="00C026E1">
        <w:tc>
          <w:tcPr>
            <w:tcW w:w="8217" w:type="dxa"/>
          </w:tcPr>
          <w:p w14:paraId="33312992" w14:textId="77777777" w:rsidR="00C026E1" w:rsidRPr="003E515B" w:rsidRDefault="00C026E1" w:rsidP="00C026E1">
            <w:r w:rsidRPr="003E515B">
              <w:t>Malicious reporting</w:t>
            </w:r>
          </w:p>
        </w:tc>
        <w:tc>
          <w:tcPr>
            <w:tcW w:w="799" w:type="dxa"/>
          </w:tcPr>
          <w:p w14:paraId="00149DEF" w14:textId="77777777" w:rsidR="00C026E1" w:rsidRDefault="000D0362" w:rsidP="000D0362">
            <w:pPr>
              <w:jc w:val="center"/>
            </w:pPr>
            <w:r>
              <w:t>6</w:t>
            </w:r>
          </w:p>
        </w:tc>
      </w:tr>
      <w:tr w:rsidR="00C026E1" w14:paraId="57D3A542" w14:textId="77777777" w:rsidTr="00C026E1">
        <w:tc>
          <w:tcPr>
            <w:tcW w:w="8217" w:type="dxa"/>
          </w:tcPr>
          <w:p w14:paraId="1AC77061" w14:textId="77777777" w:rsidR="00C026E1" w:rsidRPr="003E515B" w:rsidRDefault="00C026E1" w:rsidP="00C026E1">
            <w:r w:rsidRPr="003E515B">
              <w:t>Limitations of anonymous reporting</w:t>
            </w:r>
          </w:p>
        </w:tc>
        <w:tc>
          <w:tcPr>
            <w:tcW w:w="799" w:type="dxa"/>
          </w:tcPr>
          <w:p w14:paraId="702F0B5B" w14:textId="77777777" w:rsidR="00C026E1" w:rsidRDefault="000D0362" w:rsidP="000D0362">
            <w:pPr>
              <w:jc w:val="center"/>
            </w:pPr>
            <w:r>
              <w:t>6</w:t>
            </w:r>
          </w:p>
        </w:tc>
      </w:tr>
      <w:tr w:rsidR="00C026E1" w14:paraId="377FB110" w14:textId="77777777" w:rsidTr="00C026E1">
        <w:tc>
          <w:tcPr>
            <w:tcW w:w="8217" w:type="dxa"/>
          </w:tcPr>
          <w:p w14:paraId="6D77B0E9" w14:textId="77777777" w:rsidR="00C026E1" w:rsidRPr="003E515B" w:rsidRDefault="00C026E1" w:rsidP="00C026E1">
            <w:r w:rsidRPr="003E515B">
              <w:t>Independent advice and support</w:t>
            </w:r>
          </w:p>
        </w:tc>
        <w:tc>
          <w:tcPr>
            <w:tcW w:w="799" w:type="dxa"/>
          </w:tcPr>
          <w:p w14:paraId="23CAD5FB" w14:textId="77777777" w:rsidR="00C026E1" w:rsidRDefault="000D0362" w:rsidP="000D0362">
            <w:pPr>
              <w:jc w:val="center"/>
            </w:pPr>
            <w:r>
              <w:t>6</w:t>
            </w:r>
          </w:p>
        </w:tc>
      </w:tr>
      <w:tr w:rsidR="00C026E1" w14:paraId="6E603A47" w14:textId="77777777" w:rsidTr="00C026E1">
        <w:tc>
          <w:tcPr>
            <w:tcW w:w="8217" w:type="dxa"/>
          </w:tcPr>
          <w:p w14:paraId="38B8731A" w14:textId="77777777" w:rsidR="00C026E1" w:rsidRPr="003E515B" w:rsidRDefault="00C026E1" w:rsidP="00C026E1">
            <w:r w:rsidRPr="003E515B">
              <w:t>If you have a whistleblowing concern</w:t>
            </w:r>
          </w:p>
        </w:tc>
        <w:tc>
          <w:tcPr>
            <w:tcW w:w="799" w:type="dxa"/>
          </w:tcPr>
          <w:p w14:paraId="17248071" w14:textId="77777777" w:rsidR="00C026E1" w:rsidRDefault="000D0362" w:rsidP="000D0362">
            <w:pPr>
              <w:jc w:val="center"/>
            </w:pPr>
            <w:r>
              <w:t>7</w:t>
            </w:r>
          </w:p>
        </w:tc>
      </w:tr>
      <w:tr w:rsidR="00C026E1" w14:paraId="77CE9075" w14:textId="77777777" w:rsidTr="00C026E1">
        <w:tc>
          <w:tcPr>
            <w:tcW w:w="8217" w:type="dxa"/>
          </w:tcPr>
          <w:p w14:paraId="7CA89DB7" w14:textId="77777777" w:rsidR="00C026E1" w:rsidRPr="003E515B" w:rsidRDefault="00C026E1" w:rsidP="00C026E1">
            <w:r w:rsidRPr="003E515B">
              <w:t>Useful contact numbers</w:t>
            </w:r>
          </w:p>
        </w:tc>
        <w:tc>
          <w:tcPr>
            <w:tcW w:w="799" w:type="dxa"/>
          </w:tcPr>
          <w:p w14:paraId="6BB77348" w14:textId="77777777" w:rsidR="00C026E1" w:rsidRDefault="000D0362" w:rsidP="000D0362">
            <w:pPr>
              <w:jc w:val="center"/>
            </w:pPr>
            <w:r>
              <w:t>7</w:t>
            </w:r>
          </w:p>
        </w:tc>
      </w:tr>
      <w:tr w:rsidR="00C026E1" w14:paraId="744F79B9" w14:textId="77777777" w:rsidTr="00C026E1">
        <w:tc>
          <w:tcPr>
            <w:tcW w:w="8217" w:type="dxa"/>
          </w:tcPr>
          <w:p w14:paraId="4A88C9B8" w14:textId="77777777" w:rsidR="00C026E1" w:rsidRPr="003E515B" w:rsidRDefault="00C026E1" w:rsidP="00C026E1">
            <w:r w:rsidRPr="003E515B">
              <w:t>General Data Protection Regulation (GDPR)</w:t>
            </w:r>
          </w:p>
        </w:tc>
        <w:tc>
          <w:tcPr>
            <w:tcW w:w="799" w:type="dxa"/>
          </w:tcPr>
          <w:p w14:paraId="7CAF835D" w14:textId="77777777" w:rsidR="00C026E1" w:rsidRDefault="000D0362" w:rsidP="000D0362">
            <w:pPr>
              <w:jc w:val="center"/>
            </w:pPr>
            <w:r>
              <w:t>7</w:t>
            </w:r>
          </w:p>
        </w:tc>
      </w:tr>
    </w:tbl>
    <w:p w14:paraId="27FDA0A0" w14:textId="77777777" w:rsidR="00221E11" w:rsidRDefault="00221E11" w:rsidP="00221E11"/>
    <w:p w14:paraId="4807DBB0" w14:textId="77777777" w:rsidR="00221E11" w:rsidRDefault="00221E11" w:rsidP="00221E11"/>
    <w:p w14:paraId="7083C64D" w14:textId="77777777" w:rsidR="00221E11" w:rsidRDefault="00221E11" w:rsidP="00221E11"/>
    <w:p w14:paraId="0A5B703C" w14:textId="77777777" w:rsidR="00221E11" w:rsidRDefault="00221E11" w:rsidP="00221E11"/>
    <w:p w14:paraId="70ED75CD" w14:textId="77777777" w:rsidR="00221E11" w:rsidRDefault="00221E11" w:rsidP="00221E11"/>
    <w:p w14:paraId="60CD28AA" w14:textId="77777777" w:rsidR="00221E11" w:rsidRDefault="00221E11" w:rsidP="00221E11"/>
    <w:p w14:paraId="399DF0E1" w14:textId="77777777" w:rsidR="00221E11" w:rsidRDefault="00221E11" w:rsidP="00221E11"/>
    <w:p w14:paraId="7B2EA986" w14:textId="77777777" w:rsidR="00221E11" w:rsidRDefault="00221E11" w:rsidP="00221E11"/>
    <w:p w14:paraId="482A65F3" w14:textId="77777777" w:rsidR="00221E11" w:rsidRDefault="00221E11" w:rsidP="00221E11"/>
    <w:p w14:paraId="1D960740" w14:textId="77777777" w:rsidR="00221E11" w:rsidRDefault="00221E11" w:rsidP="00221E11"/>
    <w:p w14:paraId="1FA0F247" w14:textId="77777777" w:rsidR="00221E11" w:rsidRDefault="00221E11" w:rsidP="00221E11"/>
    <w:p w14:paraId="7C7B40F7" w14:textId="77777777" w:rsidR="00221E11" w:rsidRDefault="00221E11" w:rsidP="00221E11"/>
    <w:p w14:paraId="1F784642" w14:textId="77777777" w:rsidR="00221E11" w:rsidRDefault="00221E11" w:rsidP="00221E11"/>
    <w:p w14:paraId="642C15A3" w14:textId="77777777" w:rsidR="00221E11" w:rsidRDefault="00221E11" w:rsidP="00221E11"/>
    <w:p w14:paraId="0A46E8E2" w14:textId="77777777" w:rsidR="00221E11" w:rsidRDefault="00221E11" w:rsidP="00221E11"/>
    <w:p w14:paraId="5D60D155" w14:textId="77777777" w:rsidR="00221E11" w:rsidRDefault="00221E11" w:rsidP="00221E11"/>
    <w:p w14:paraId="664BA2A9" w14:textId="77777777" w:rsidR="00221E11" w:rsidRDefault="00221E11" w:rsidP="00221E11"/>
    <w:p w14:paraId="7EAC261A" w14:textId="77777777" w:rsidR="00221E11" w:rsidRDefault="00221E11" w:rsidP="00221E11"/>
    <w:p w14:paraId="2D3EA530" w14:textId="77777777" w:rsidR="00221E11" w:rsidRDefault="00221E11" w:rsidP="00221E11"/>
    <w:p w14:paraId="5753F216" w14:textId="77777777" w:rsidR="00221E11" w:rsidRDefault="00221E11" w:rsidP="00221E11"/>
    <w:p w14:paraId="4A7B130E" w14:textId="77777777" w:rsidR="00221E11" w:rsidRDefault="00221E11" w:rsidP="00221E11"/>
    <w:p w14:paraId="6E96CA7D" w14:textId="77777777" w:rsidR="00221E11" w:rsidRDefault="00221E11" w:rsidP="00221E11"/>
    <w:p w14:paraId="29E3056A" w14:textId="77777777" w:rsidR="00221E11" w:rsidRDefault="00221E11" w:rsidP="00221E11"/>
    <w:p w14:paraId="31DD462D" w14:textId="77777777" w:rsidR="00D10955" w:rsidRDefault="00D10955" w:rsidP="00221E11"/>
    <w:p w14:paraId="39872124" w14:textId="77777777" w:rsidR="00DD311D" w:rsidRDefault="00DD311D" w:rsidP="00221E11"/>
    <w:p w14:paraId="10D9EAC4" w14:textId="77777777" w:rsidR="00221E11" w:rsidRPr="00D10955" w:rsidRDefault="00221E11" w:rsidP="00221E11">
      <w:pPr>
        <w:rPr>
          <w:b/>
          <w:color w:val="00B0F0"/>
          <w:sz w:val="28"/>
          <w:szCs w:val="28"/>
        </w:rPr>
      </w:pPr>
      <w:r w:rsidRPr="00D10955">
        <w:rPr>
          <w:b/>
          <w:color w:val="00B0F0"/>
          <w:sz w:val="28"/>
          <w:szCs w:val="28"/>
        </w:rPr>
        <w:lastRenderedPageBreak/>
        <w:t>About Whistleblowing</w:t>
      </w:r>
    </w:p>
    <w:p w14:paraId="13102072" w14:textId="77777777" w:rsidR="00221E11" w:rsidRDefault="00221E11" w:rsidP="00221E11"/>
    <w:p w14:paraId="6CB97494" w14:textId="77777777" w:rsidR="00221E11" w:rsidRDefault="00221E11" w:rsidP="00221E11">
      <w:r>
        <w:t>Introduction</w:t>
      </w:r>
    </w:p>
    <w:p w14:paraId="21BA3054" w14:textId="77777777" w:rsidR="00221E11" w:rsidRDefault="00221E11" w:rsidP="00221E11"/>
    <w:p w14:paraId="7EDCC2FB" w14:textId="77777777" w:rsidR="00221E11" w:rsidRDefault="00221E11" w:rsidP="00221E11">
      <w:pPr>
        <w:pStyle w:val="ListParagraph"/>
        <w:numPr>
          <w:ilvl w:val="0"/>
          <w:numId w:val="1"/>
        </w:numPr>
      </w:pPr>
      <w:r>
        <w:t>Rochdale Borough Safeguarding Adults Board (RBSAB) is committed to ensuring best practice and the protection of all adults at risk across the county.</w:t>
      </w:r>
    </w:p>
    <w:p w14:paraId="7631076C" w14:textId="77777777" w:rsidR="00221E11" w:rsidRDefault="00221E11" w:rsidP="00221E11">
      <w:pPr>
        <w:pStyle w:val="ListParagraph"/>
        <w:numPr>
          <w:ilvl w:val="0"/>
          <w:numId w:val="1"/>
        </w:numPr>
      </w:pPr>
      <w:r>
        <w:t>Supporting and empowering staff to report concerns is an essential part of keeping adults with care and support needs safe.</w:t>
      </w:r>
    </w:p>
    <w:p w14:paraId="51F6BE55" w14:textId="77777777" w:rsidR="00221E11" w:rsidRDefault="00221E11" w:rsidP="00221E11"/>
    <w:p w14:paraId="01F0A5B7" w14:textId="77777777" w:rsidR="00221E11" w:rsidRDefault="00221E11" w:rsidP="00221E11">
      <w:r>
        <w:t>Who is this aimed at?</w:t>
      </w:r>
    </w:p>
    <w:p w14:paraId="08120100" w14:textId="77777777" w:rsidR="00221E11" w:rsidRDefault="00221E11" w:rsidP="00221E11">
      <w:pPr>
        <w:pStyle w:val="ListParagraph"/>
        <w:numPr>
          <w:ilvl w:val="0"/>
          <w:numId w:val="2"/>
        </w:numPr>
      </w:pPr>
      <w:r>
        <w:t>This guidance is specifically aimed at organisations working with adults at risk of abuse or neglect (as defined by the Care Act 2014) but the general principles can also be applied to other service groups.</w:t>
      </w:r>
    </w:p>
    <w:p w14:paraId="35BD143A" w14:textId="77777777" w:rsidR="00221E11" w:rsidRDefault="00221E11" w:rsidP="00221E11">
      <w:pPr>
        <w:pStyle w:val="ListParagraph"/>
        <w:numPr>
          <w:ilvl w:val="0"/>
          <w:numId w:val="2"/>
        </w:numPr>
      </w:pPr>
      <w:r>
        <w:t>This guidance may be used by any organisation working with adults in the Rochdale Borough.</w:t>
      </w:r>
    </w:p>
    <w:p w14:paraId="31BDBA85" w14:textId="77777777" w:rsidR="00221E11" w:rsidRDefault="00221E11" w:rsidP="00221E11">
      <w:pPr>
        <w:pStyle w:val="ListParagraph"/>
        <w:numPr>
          <w:ilvl w:val="0"/>
          <w:numId w:val="2"/>
        </w:numPr>
      </w:pPr>
      <w:r>
        <w:t>It is of particular relevance to those commissioned by Rochdale Borough Council, their partners, or a sub-contracted agency.</w:t>
      </w:r>
    </w:p>
    <w:p w14:paraId="56A9597B" w14:textId="77777777" w:rsidR="00221E11" w:rsidRDefault="00221E11" w:rsidP="00221E11"/>
    <w:p w14:paraId="39DAA35E" w14:textId="77777777" w:rsidR="00221E11" w:rsidRDefault="00221E11" w:rsidP="00221E11">
      <w:r>
        <w:t>What is whistleblowing?</w:t>
      </w:r>
    </w:p>
    <w:p w14:paraId="13BA2544" w14:textId="77777777" w:rsidR="00221E11" w:rsidRDefault="00221E11" w:rsidP="00221E11">
      <w:r>
        <w:t>Whistleblowing is the raising of a concern, either within the workplace or externally about a danger, risk, malpractice or wrongdoing which affects others.</w:t>
      </w:r>
      <w:r w:rsidR="00F44899" w:rsidRPr="00F44899">
        <w:t xml:space="preserve"> </w:t>
      </w:r>
      <w:r w:rsidR="00F44899">
        <w:t>A</w:t>
      </w:r>
      <w:r w:rsidR="00F44899" w:rsidRPr="00F44899">
        <w:t>ll agencies should have a whistlebl</w:t>
      </w:r>
      <w:r w:rsidR="00F44899">
        <w:t>owing policy/procedure in place</w:t>
      </w:r>
      <w:r w:rsidR="00F44899" w:rsidRPr="00F44899">
        <w:t xml:space="preserve"> but if  there are barriers  for a whistle-</w:t>
      </w:r>
      <w:r w:rsidR="00F44899">
        <w:t xml:space="preserve">blower using it, </w:t>
      </w:r>
      <w:r w:rsidR="00F44899" w:rsidRPr="00F44899">
        <w:t xml:space="preserve">concerns </w:t>
      </w:r>
      <w:r w:rsidR="00F44899">
        <w:t xml:space="preserve">can be raised </w:t>
      </w:r>
      <w:r w:rsidR="00F44899" w:rsidRPr="00F44899">
        <w:t xml:space="preserve">with </w:t>
      </w:r>
      <w:r w:rsidR="00F44899">
        <w:t xml:space="preserve">Rochdale </w:t>
      </w:r>
      <w:r w:rsidR="00F44899" w:rsidRPr="00F44899">
        <w:t>Adult Care directly or if a crime has been committed, w</w:t>
      </w:r>
      <w:r w:rsidR="00F44899">
        <w:t>ith the Police.</w:t>
      </w:r>
    </w:p>
    <w:p w14:paraId="67346C8E" w14:textId="77777777" w:rsidR="00221E11" w:rsidRDefault="00221E11" w:rsidP="00221E11"/>
    <w:p w14:paraId="61356F08" w14:textId="77777777" w:rsidR="00221E11" w:rsidRDefault="00221E11" w:rsidP="00221E11">
      <w:r>
        <w:t>Safeguarding Adults</w:t>
      </w:r>
    </w:p>
    <w:p w14:paraId="59F171E0" w14:textId="77777777" w:rsidR="00221E11" w:rsidRDefault="00221E11" w:rsidP="00221E11">
      <w:r>
        <w:t>If there is an immediate safeguarding concern Rochdale Adult Care (</w:t>
      </w:r>
      <w:r w:rsidRPr="00221E11">
        <w:t>0300 303 8886</w:t>
      </w:r>
      <w:r>
        <w:t>) and/or the police should be contacted. The whistleblowing process can continue separately or in conjunction with a safeguarding concern.</w:t>
      </w:r>
    </w:p>
    <w:p w14:paraId="1EAA94C4" w14:textId="77777777" w:rsidR="00221E11" w:rsidRDefault="00221E11" w:rsidP="00221E11"/>
    <w:p w14:paraId="1119D662" w14:textId="77777777" w:rsidR="00221E11" w:rsidRPr="00D10955" w:rsidRDefault="00221E11" w:rsidP="00221E11">
      <w:pPr>
        <w:rPr>
          <w:b/>
          <w:color w:val="00B0F0"/>
          <w:sz w:val="28"/>
          <w:szCs w:val="28"/>
        </w:rPr>
      </w:pPr>
      <w:r w:rsidRPr="00D10955">
        <w:rPr>
          <w:b/>
          <w:color w:val="00B0F0"/>
          <w:sz w:val="28"/>
          <w:szCs w:val="28"/>
        </w:rPr>
        <w:t>Value of whistle</w:t>
      </w:r>
      <w:r w:rsidR="00AA1F2D">
        <w:rPr>
          <w:b/>
          <w:color w:val="00B0F0"/>
          <w:sz w:val="28"/>
          <w:szCs w:val="28"/>
        </w:rPr>
        <w:t>-</w:t>
      </w:r>
      <w:r w:rsidRPr="00D10955">
        <w:rPr>
          <w:b/>
          <w:color w:val="00B0F0"/>
          <w:sz w:val="28"/>
          <w:szCs w:val="28"/>
        </w:rPr>
        <w:t>blowers</w:t>
      </w:r>
    </w:p>
    <w:p w14:paraId="27422367" w14:textId="77777777" w:rsidR="00221E11" w:rsidRDefault="00221E11" w:rsidP="00A27C64">
      <w:pPr>
        <w:pStyle w:val="ListParagraph"/>
        <w:numPr>
          <w:ilvl w:val="0"/>
          <w:numId w:val="3"/>
        </w:numPr>
      </w:pPr>
      <w:r>
        <w:t>Every organisation faces the risk that something will go wrong and the first</w:t>
      </w:r>
      <w:r w:rsidR="00A27C64">
        <w:t xml:space="preserve"> </w:t>
      </w:r>
      <w:r>
        <w:t>people to know of the risk will usually be those who work in or with the</w:t>
      </w:r>
      <w:r w:rsidR="00A27C64">
        <w:t xml:space="preserve"> </w:t>
      </w:r>
      <w:r>
        <w:t>organisation. Whistle</w:t>
      </w:r>
      <w:r w:rsidR="00AA1F2D">
        <w:t>-</w:t>
      </w:r>
      <w:r>
        <w:t>blowers can provide an additional safeguard for patients</w:t>
      </w:r>
      <w:r w:rsidR="00A27C64">
        <w:t xml:space="preserve"> </w:t>
      </w:r>
      <w:r>
        <w:t>or service users, where organisations are failing to recognise abuse or</w:t>
      </w:r>
      <w:r w:rsidR="00A27C64">
        <w:t xml:space="preserve"> </w:t>
      </w:r>
      <w:r>
        <w:t>neglect or are not acting on concerns.</w:t>
      </w:r>
    </w:p>
    <w:p w14:paraId="2F54E9EE" w14:textId="77777777" w:rsidR="00221E11" w:rsidRDefault="00221E11" w:rsidP="00A27C64">
      <w:pPr>
        <w:pStyle w:val="ListParagraph"/>
        <w:numPr>
          <w:ilvl w:val="0"/>
          <w:numId w:val="3"/>
        </w:numPr>
      </w:pPr>
      <w:r>
        <w:t>When concerns are raised at an early stage, corrective action can be put in</w:t>
      </w:r>
      <w:r w:rsidR="00A27C64">
        <w:t xml:space="preserve"> </w:t>
      </w:r>
      <w:r>
        <w:t>place to ensure high quality and compassionate care.</w:t>
      </w:r>
    </w:p>
    <w:p w14:paraId="679F1C2F" w14:textId="77777777" w:rsidR="00221E11" w:rsidRDefault="00221E11" w:rsidP="00221E11"/>
    <w:p w14:paraId="5E093746" w14:textId="77777777" w:rsidR="00221E11" w:rsidRPr="00D10955" w:rsidRDefault="00221E11" w:rsidP="00221E11">
      <w:pPr>
        <w:rPr>
          <w:b/>
          <w:color w:val="00B0F0"/>
          <w:sz w:val="28"/>
          <w:szCs w:val="28"/>
        </w:rPr>
      </w:pPr>
      <w:r w:rsidRPr="00D10955">
        <w:rPr>
          <w:b/>
          <w:color w:val="00B0F0"/>
          <w:sz w:val="28"/>
          <w:szCs w:val="28"/>
        </w:rPr>
        <w:t>Effective complaints processes</w:t>
      </w:r>
    </w:p>
    <w:p w14:paraId="229A7078" w14:textId="77777777" w:rsidR="00221E11" w:rsidRDefault="00221E11" w:rsidP="00221E11">
      <w:pPr>
        <w:pStyle w:val="ListParagraph"/>
        <w:numPr>
          <w:ilvl w:val="0"/>
          <w:numId w:val="4"/>
        </w:numPr>
      </w:pPr>
      <w:r>
        <w:t>It is important for staff to be able to ra</w:t>
      </w:r>
      <w:r w:rsidR="00473496">
        <w:t xml:space="preserve">ise concerns at work, or across </w:t>
      </w:r>
      <w:r>
        <w:t>agencies. Effective complaints, allegatio</w:t>
      </w:r>
      <w:r w:rsidR="00473496">
        <w:t xml:space="preserve">ns and whistleblowing processes </w:t>
      </w:r>
      <w:r>
        <w:t>demonstrate that an organisation is open,</w:t>
      </w:r>
      <w:r w:rsidR="00473496">
        <w:t xml:space="preserve"> willing and able to respond to </w:t>
      </w:r>
      <w:r>
        <w:t>concerns. Creating regular opportunit</w:t>
      </w:r>
      <w:r w:rsidR="00473496">
        <w:t xml:space="preserve">ies to raise issues before they </w:t>
      </w:r>
      <w:r>
        <w:t>escalate can increase the opportunity for early intervention.</w:t>
      </w:r>
    </w:p>
    <w:p w14:paraId="19D95E9F" w14:textId="77777777" w:rsidR="00221E11" w:rsidRDefault="00221E11" w:rsidP="00221E11">
      <w:pPr>
        <w:pStyle w:val="ListParagraph"/>
        <w:numPr>
          <w:ilvl w:val="0"/>
          <w:numId w:val="4"/>
        </w:numPr>
      </w:pPr>
      <w:r>
        <w:t>Whistleblowing can be seen as the result of employees lacking confidence</w:t>
      </w:r>
      <w:r w:rsidR="00473496">
        <w:t xml:space="preserve"> </w:t>
      </w:r>
      <w:r>
        <w:t>to raise issues internally, or not trusting the organisation to respond</w:t>
      </w:r>
      <w:r w:rsidR="00473496">
        <w:t xml:space="preserve"> </w:t>
      </w:r>
      <w:r>
        <w:t>effectively.</w:t>
      </w:r>
    </w:p>
    <w:p w14:paraId="430FC7FD" w14:textId="77777777" w:rsidR="00473496" w:rsidRDefault="00473496" w:rsidP="00221E11"/>
    <w:p w14:paraId="4F7800A9" w14:textId="77777777" w:rsidR="00473496" w:rsidRDefault="00473496" w:rsidP="00221E11"/>
    <w:p w14:paraId="49BE45BC" w14:textId="77777777" w:rsidR="00473496" w:rsidRDefault="00473496" w:rsidP="00221E11"/>
    <w:p w14:paraId="23861E2E" w14:textId="77777777" w:rsidR="00221E11" w:rsidRPr="00D10955" w:rsidRDefault="00221E11" w:rsidP="00221E11">
      <w:pPr>
        <w:rPr>
          <w:b/>
          <w:sz w:val="28"/>
          <w:szCs w:val="28"/>
        </w:rPr>
      </w:pPr>
      <w:r w:rsidRPr="00D10955">
        <w:rPr>
          <w:b/>
          <w:color w:val="00B0F0"/>
          <w:sz w:val="28"/>
          <w:szCs w:val="28"/>
        </w:rPr>
        <w:t>Failure to listen</w:t>
      </w:r>
    </w:p>
    <w:p w14:paraId="6B409F3A" w14:textId="77777777" w:rsidR="00221E11" w:rsidRDefault="00221E11" w:rsidP="00473496">
      <w:pPr>
        <w:pStyle w:val="ListParagraph"/>
        <w:numPr>
          <w:ilvl w:val="0"/>
          <w:numId w:val="5"/>
        </w:numPr>
      </w:pPr>
      <w:r>
        <w:t>Evidence suggests that workers often fail to speak up because of fe</w:t>
      </w:r>
      <w:r w:rsidR="00473496">
        <w:t xml:space="preserve">ar of </w:t>
      </w:r>
      <w:r>
        <w:t>reprisal, being viewed as a troublemaker, or beca</w:t>
      </w:r>
      <w:r w:rsidR="00473496">
        <w:t xml:space="preserve">use they believe that they will </w:t>
      </w:r>
      <w:r>
        <w:t>not be listened to and that nothing will be done.</w:t>
      </w:r>
    </w:p>
    <w:p w14:paraId="29297014" w14:textId="77777777" w:rsidR="00221E11" w:rsidRDefault="00221E11" w:rsidP="00473496">
      <w:pPr>
        <w:pStyle w:val="ListParagraph"/>
        <w:numPr>
          <w:ilvl w:val="0"/>
          <w:numId w:val="5"/>
        </w:numPr>
      </w:pPr>
      <w:r>
        <w:t>Many examples exist where internal co</w:t>
      </w:r>
      <w:r w:rsidR="00473496">
        <w:t xml:space="preserve">mplaints were not acted upon by </w:t>
      </w:r>
      <w:r>
        <w:t>organisations, leading to death or serious injury.</w:t>
      </w:r>
    </w:p>
    <w:p w14:paraId="35BD7A6B" w14:textId="77777777" w:rsidR="00221E11" w:rsidRDefault="00221E11" w:rsidP="00473496">
      <w:pPr>
        <w:pStyle w:val="ListParagraph"/>
        <w:numPr>
          <w:ilvl w:val="0"/>
          <w:numId w:val="5"/>
        </w:numPr>
      </w:pPr>
      <w:r>
        <w:t>Where there is a failure to listen, it is vital that ind</w:t>
      </w:r>
      <w:r w:rsidR="00473496">
        <w:t xml:space="preserve">ividuals can safely report to a </w:t>
      </w:r>
      <w:r>
        <w:t>competent external authority and that they are a</w:t>
      </w:r>
      <w:r w:rsidR="00473496">
        <w:t xml:space="preserve">ware of the steps they can take </w:t>
      </w:r>
      <w:r>
        <w:t>to do so.</w:t>
      </w:r>
    </w:p>
    <w:p w14:paraId="410E3BD4" w14:textId="77777777" w:rsidR="00221E11" w:rsidRDefault="00221E11" w:rsidP="00473496">
      <w:pPr>
        <w:pStyle w:val="ListParagraph"/>
        <w:numPr>
          <w:ilvl w:val="0"/>
          <w:numId w:val="5"/>
        </w:numPr>
      </w:pPr>
      <w:r>
        <w:t>Organisations may have a limited opportunity</w:t>
      </w:r>
      <w:r w:rsidR="00473496">
        <w:t xml:space="preserve"> to address a concern before it </w:t>
      </w:r>
      <w:r>
        <w:t>escalates; swift and appropriate action needs to be taken.</w:t>
      </w:r>
    </w:p>
    <w:p w14:paraId="5A1A0F80" w14:textId="77777777" w:rsidR="00473496" w:rsidRDefault="00473496" w:rsidP="00221E11"/>
    <w:p w14:paraId="34D19963" w14:textId="77777777" w:rsidR="00221E11" w:rsidRPr="00D10955" w:rsidRDefault="00221E11" w:rsidP="00221E11">
      <w:pPr>
        <w:rPr>
          <w:b/>
          <w:color w:val="00B0F0"/>
          <w:sz w:val="28"/>
          <w:szCs w:val="28"/>
        </w:rPr>
      </w:pPr>
      <w:r w:rsidRPr="00D10955">
        <w:rPr>
          <w:b/>
          <w:color w:val="00B0F0"/>
          <w:sz w:val="28"/>
          <w:szCs w:val="28"/>
        </w:rPr>
        <w:t>Culture of confidence</w:t>
      </w:r>
    </w:p>
    <w:p w14:paraId="67F6366A" w14:textId="77777777" w:rsidR="00221E11" w:rsidRDefault="00221E11" w:rsidP="00473496">
      <w:pPr>
        <w:pStyle w:val="ListParagraph"/>
        <w:numPr>
          <w:ilvl w:val="0"/>
          <w:numId w:val="6"/>
        </w:numPr>
      </w:pPr>
      <w:r>
        <w:t>In a healthy open culture workers are encou</w:t>
      </w:r>
      <w:r w:rsidR="00473496">
        <w:t xml:space="preserve">raged to speak out and have the </w:t>
      </w:r>
      <w:r>
        <w:t>confidence and freedom to raise any concerns a</w:t>
      </w:r>
      <w:r w:rsidR="00473496">
        <w:t xml:space="preserve">nd ‘do the right thing’ without </w:t>
      </w:r>
      <w:r>
        <w:t>adverse repercussions. It is part of encouraging</w:t>
      </w:r>
      <w:r w:rsidR="00473496">
        <w:t xml:space="preserve"> workers to reflect on practice </w:t>
      </w:r>
      <w:r>
        <w:t>as a way of learning. Providing regular oppor</w:t>
      </w:r>
      <w:r w:rsidR="00473496">
        <w:t xml:space="preserve">tunities to share concerns in a </w:t>
      </w:r>
      <w:r>
        <w:t>supportive environment can significantly reduce the risk of poo</w:t>
      </w:r>
      <w:r w:rsidR="00473496">
        <w:t xml:space="preserve">r practice going </w:t>
      </w:r>
      <w:r>
        <w:t>unnoticed; it is key to good governance.</w:t>
      </w:r>
    </w:p>
    <w:p w14:paraId="6B927D56" w14:textId="77777777" w:rsidR="00473496" w:rsidRDefault="00473496" w:rsidP="00221E11"/>
    <w:p w14:paraId="6DDF3D9B" w14:textId="77777777" w:rsidR="00221E11" w:rsidRPr="00D10955" w:rsidRDefault="00221E11" w:rsidP="00221E11">
      <w:pPr>
        <w:rPr>
          <w:b/>
          <w:color w:val="00B0F0"/>
          <w:sz w:val="28"/>
          <w:szCs w:val="28"/>
        </w:rPr>
      </w:pPr>
      <w:r w:rsidRPr="00D10955">
        <w:rPr>
          <w:b/>
          <w:color w:val="00B0F0"/>
          <w:sz w:val="28"/>
          <w:szCs w:val="28"/>
        </w:rPr>
        <w:t>Response from colleagues</w:t>
      </w:r>
    </w:p>
    <w:p w14:paraId="284B5CC5" w14:textId="77777777" w:rsidR="00221E11" w:rsidRDefault="00221E11" w:rsidP="00473496">
      <w:pPr>
        <w:pStyle w:val="ListParagraph"/>
        <w:numPr>
          <w:ilvl w:val="0"/>
          <w:numId w:val="6"/>
        </w:numPr>
      </w:pPr>
      <w:r>
        <w:t>Co-workers who victimise whistle</w:t>
      </w:r>
      <w:r w:rsidR="00AA1F2D">
        <w:t>-</w:t>
      </w:r>
      <w:r>
        <w:t>blowers ma</w:t>
      </w:r>
      <w:r w:rsidR="00473496">
        <w:t xml:space="preserve">y be held personally liable for </w:t>
      </w:r>
      <w:r>
        <w:t>their actions. Where bullying and ha</w:t>
      </w:r>
      <w:r w:rsidR="00473496">
        <w:t>rassment have taken place by co-</w:t>
      </w:r>
      <w:r>
        <w:t xml:space="preserve">workers, employers may be held vicariously </w:t>
      </w:r>
      <w:r w:rsidR="00473496">
        <w:t xml:space="preserve">liable, and responsible for the </w:t>
      </w:r>
      <w:r>
        <w:t>actions of their employees, unless they can</w:t>
      </w:r>
      <w:r w:rsidR="00473496">
        <w:t xml:space="preserve"> show that they took reasonable </w:t>
      </w:r>
      <w:r>
        <w:t>steps to prevent victimisation.</w:t>
      </w:r>
    </w:p>
    <w:p w14:paraId="6E32B5F9" w14:textId="77777777" w:rsidR="00221E11" w:rsidRDefault="00221E11" w:rsidP="00473496">
      <w:pPr>
        <w:pStyle w:val="ListParagraph"/>
        <w:numPr>
          <w:ilvl w:val="0"/>
          <w:numId w:val="6"/>
        </w:numPr>
      </w:pPr>
      <w:r>
        <w:t>Managers should be aware of their respo</w:t>
      </w:r>
      <w:r w:rsidR="00473496">
        <w:t xml:space="preserve">nsibilities and liabilities and </w:t>
      </w:r>
      <w:r>
        <w:t>given practical tools to facilitate the managing of concerns.</w:t>
      </w:r>
    </w:p>
    <w:p w14:paraId="2A7C0B71" w14:textId="77777777" w:rsidR="00473496" w:rsidRDefault="00473496" w:rsidP="00221E11"/>
    <w:p w14:paraId="73CFBCCC" w14:textId="77777777" w:rsidR="00221E11" w:rsidRPr="00D10955" w:rsidRDefault="00221E11" w:rsidP="00221E11">
      <w:pPr>
        <w:rPr>
          <w:b/>
          <w:color w:val="00B0F0"/>
          <w:sz w:val="28"/>
          <w:szCs w:val="28"/>
        </w:rPr>
      </w:pPr>
      <w:r w:rsidRPr="00D10955">
        <w:rPr>
          <w:b/>
          <w:color w:val="00B0F0"/>
          <w:sz w:val="28"/>
          <w:szCs w:val="28"/>
        </w:rPr>
        <w:t>Response to whistle</w:t>
      </w:r>
      <w:r w:rsidR="00AA1F2D">
        <w:rPr>
          <w:b/>
          <w:color w:val="00B0F0"/>
          <w:sz w:val="28"/>
          <w:szCs w:val="28"/>
        </w:rPr>
        <w:t>-</w:t>
      </w:r>
      <w:r w:rsidRPr="00D10955">
        <w:rPr>
          <w:b/>
          <w:color w:val="00B0F0"/>
          <w:sz w:val="28"/>
          <w:szCs w:val="28"/>
        </w:rPr>
        <w:t>blowers</w:t>
      </w:r>
    </w:p>
    <w:p w14:paraId="038ADAA5" w14:textId="77777777" w:rsidR="00221E11" w:rsidRDefault="00221E11" w:rsidP="00473496">
      <w:pPr>
        <w:pStyle w:val="ListParagraph"/>
        <w:numPr>
          <w:ilvl w:val="0"/>
          <w:numId w:val="7"/>
        </w:numPr>
      </w:pPr>
      <w:r>
        <w:t>It is important that the member of staff who ra</w:t>
      </w:r>
      <w:r w:rsidR="00473496">
        <w:t xml:space="preserve">ises the whistleblowing concern </w:t>
      </w:r>
      <w:r>
        <w:t>is given a formal acknowledgement a</w:t>
      </w:r>
      <w:r w:rsidR="00473496">
        <w:t xml:space="preserve">nd where possible provided with </w:t>
      </w:r>
      <w:r>
        <w:t>feedback on the outcome of the investigation.</w:t>
      </w:r>
    </w:p>
    <w:p w14:paraId="00F29B3A" w14:textId="77777777" w:rsidR="00473496" w:rsidRDefault="00473496" w:rsidP="00221E11"/>
    <w:p w14:paraId="7639A4C8" w14:textId="77777777" w:rsidR="00221E11" w:rsidRPr="00D10955" w:rsidRDefault="00473496" w:rsidP="00221E11">
      <w:pPr>
        <w:rPr>
          <w:b/>
          <w:color w:val="00B0F0"/>
          <w:sz w:val="28"/>
          <w:szCs w:val="28"/>
        </w:rPr>
      </w:pPr>
      <w:r w:rsidRPr="00D10955">
        <w:rPr>
          <w:b/>
          <w:color w:val="00B0F0"/>
          <w:sz w:val="28"/>
          <w:szCs w:val="28"/>
        </w:rPr>
        <w:t>Confidentiality</w:t>
      </w:r>
    </w:p>
    <w:p w14:paraId="1C738D03" w14:textId="77777777" w:rsidR="00221E11" w:rsidRDefault="00221E11" w:rsidP="00473496">
      <w:pPr>
        <w:pStyle w:val="ListParagraph"/>
        <w:numPr>
          <w:ilvl w:val="0"/>
          <w:numId w:val="7"/>
        </w:numPr>
      </w:pPr>
      <w:r>
        <w:t>Whistle</w:t>
      </w:r>
      <w:r w:rsidR="00AA1F2D">
        <w:t>-</w:t>
      </w:r>
      <w:r>
        <w:t>blowers are often concerned about pos</w:t>
      </w:r>
      <w:r w:rsidR="00473496">
        <w:t xml:space="preserve">sible reprisals and can ask for </w:t>
      </w:r>
      <w:r>
        <w:t>their identity to be kept confidential. The emplo</w:t>
      </w:r>
      <w:r w:rsidR="00473496">
        <w:t xml:space="preserve">yer should make every effort to </w:t>
      </w:r>
      <w:r>
        <w:t>keep their identity secret, however they shou</w:t>
      </w:r>
      <w:r w:rsidR="00473496">
        <w:t xml:space="preserve">ld make the employee aware that </w:t>
      </w:r>
      <w:r>
        <w:t>there may be circumstances where this ca</w:t>
      </w:r>
      <w:r w:rsidR="00473496">
        <w:t xml:space="preserve">nnot be ensured e.g. associated </w:t>
      </w:r>
      <w:r>
        <w:t>disciplinary, legal or police investigations. Whe</w:t>
      </w:r>
      <w:r w:rsidR="00473496">
        <w:t xml:space="preserve">re this is the case this should </w:t>
      </w:r>
      <w:r>
        <w:t>be fully discussed with the member of staff.</w:t>
      </w:r>
    </w:p>
    <w:p w14:paraId="17F570F4" w14:textId="77777777" w:rsidR="00473496" w:rsidRDefault="00473496" w:rsidP="00221E11"/>
    <w:p w14:paraId="3DFAF158" w14:textId="77777777" w:rsidR="00221E11" w:rsidRPr="00D10955" w:rsidRDefault="00221E11" w:rsidP="00221E11">
      <w:pPr>
        <w:rPr>
          <w:b/>
          <w:color w:val="00B0F0"/>
          <w:sz w:val="28"/>
          <w:szCs w:val="28"/>
        </w:rPr>
      </w:pPr>
      <w:r w:rsidRPr="00D10955">
        <w:rPr>
          <w:b/>
          <w:color w:val="00B0F0"/>
          <w:sz w:val="28"/>
          <w:szCs w:val="28"/>
        </w:rPr>
        <w:t>Public Interest Disclosure Act 1998 (PIDA) and Protection of Whistle</w:t>
      </w:r>
      <w:r w:rsidR="00AA1F2D">
        <w:rPr>
          <w:b/>
          <w:color w:val="00B0F0"/>
          <w:sz w:val="28"/>
          <w:szCs w:val="28"/>
        </w:rPr>
        <w:t>-</w:t>
      </w:r>
      <w:r w:rsidRPr="00D10955">
        <w:rPr>
          <w:b/>
          <w:color w:val="00B0F0"/>
          <w:sz w:val="28"/>
          <w:szCs w:val="28"/>
        </w:rPr>
        <w:t>blowers</w:t>
      </w:r>
    </w:p>
    <w:p w14:paraId="5F09995B" w14:textId="77777777" w:rsidR="00221E11" w:rsidRDefault="00221E11" w:rsidP="00473496">
      <w:pPr>
        <w:pStyle w:val="ListParagraph"/>
        <w:numPr>
          <w:ilvl w:val="0"/>
          <w:numId w:val="7"/>
        </w:numPr>
      </w:pPr>
      <w:r>
        <w:t>Employees who genuinely raise a concern will</w:t>
      </w:r>
      <w:r w:rsidR="00473496">
        <w:t xml:space="preserve"> not be at risk of losing their </w:t>
      </w:r>
      <w:r>
        <w:t>job or suffering any form of retribution as a re</w:t>
      </w:r>
      <w:r w:rsidR="00473496">
        <w:t xml:space="preserve">sult, regardless of the outcome </w:t>
      </w:r>
      <w:r>
        <w:t>of concern raised.</w:t>
      </w:r>
    </w:p>
    <w:p w14:paraId="0E4D107A" w14:textId="77777777" w:rsidR="00221E11" w:rsidRDefault="00221E11" w:rsidP="00473496">
      <w:pPr>
        <w:pStyle w:val="ListParagraph"/>
        <w:numPr>
          <w:ilvl w:val="0"/>
          <w:numId w:val="7"/>
        </w:numPr>
      </w:pPr>
      <w:r>
        <w:lastRenderedPageBreak/>
        <w:t>The Public Interest Disclosure Act (PIDA) pr</w:t>
      </w:r>
      <w:r w:rsidR="00473496">
        <w:t xml:space="preserve">otects workers from detrimental </w:t>
      </w:r>
      <w:r>
        <w:t>treatment or victimisation from their employer i</w:t>
      </w:r>
      <w:r w:rsidR="00473496">
        <w:t xml:space="preserve">f, in the public interest, they </w:t>
      </w:r>
      <w:r>
        <w:t>blow the whistle on wrongdoing.</w:t>
      </w:r>
    </w:p>
    <w:p w14:paraId="3D7DD8AF" w14:textId="77777777" w:rsidR="00221E11" w:rsidRDefault="00221E11" w:rsidP="00473496">
      <w:pPr>
        <w:pStyle w:val="ListParagraph"/>
        <w:numPr>
          <w:ilvl w:val="0"/>
          <w:numId w:val="7"/>
        </w:numPr>
      </w:pPr>
      <w:r>
        <w:t>The PIDA protects most workers in the public, private and voluntary sectors.</w:t>
      </w:r>
    </w:p>
    <w:p w14:paraId="1FEE8C8A" w14:textId="77777777" w:rsidR="00221E11" w:rsidRDefault="00221E11" w:rsidP="00473496">
      <w:pPr>
        <w:pStyle w:val="ListParagraph"/>
        <w:numPr>
          <w:ilvl w:val="0"/>
          <w:numId w:val="7"/>
        </w:numPr>
      </w:pPr>
      <w:r>
        <w:t>It does not apply to genuinely self-employed professionals (other than in the</w:t>
      </w:r>
    </w:p>
    <w:p w14:paraId="1D92513E" w14:textId="77777777" w:rsidR="00221E11" w:rsidRDefault="00221E11" w:rsidP="00473496">
      <w:pPr>
        <w:pStyle w:val="ListParagraph"/>
        <w:numPr>
          <w:ilvl w:val="0"/>
          <w:numId w:val="7"/>
        </w:numPr>
      </w:pPr>
      <w:r>
        <w:t>NHS) or voluntary workers (includi</w:t>
      </w:r>
      <w:r w:rsidR="00473496">
        <w:t xml:space="preserve">ng charity trustees and charity </w:t>
      </w:r>
      <w:r>
        <w:t>volunteers).</w:t>
      </w:r>
    </w:p>
    <w:p w14:paraId="11437977" w14:textId="77777777" w:rsidR="00221E11" w:rsidRDefault="00221E11" w:rsidP="00473496">
      <w:pPr>
        <w:pStyle w:val="ListParagraph"/>
        <w:numPr>
          <w:ilvl w:val="0"/>
          <w:numId w:val="7"/>
        </w:numPr>
      </w:pPr>
      <w:r>
        <w:t>To be protected under the PIDA, the individual must have a reason</w:t>
      </w:r>
      <w:r w:rsidR="00473496">
        <w:t xml:space="preserve">able </w:t>
      </w:r>
      <w:r>
        <w:t>belief that one of the following has occurred or is likely to occur:</w:t>
      </w:r>
    </w:p>
    <w:p w14:paraId="649777B6" w14:textId="77777777" w:rsidR="00221E11" w:rsidRDefault="00221E11" w:rsidP="00473496">
      <w:pPr>
        <w:pStyle w:val="ListParagraph"/>
        <w:numPr>
          <w:ilvl w:val="0"/>
          <w:numId w:val="7"/>
        </w:numPr>
      </w:pPr>
      <w:r>
        <w:t>Criminal offence</w:t>
      </w:r>
    </w:p>
    <w:p w14:paraId="21D864C6" w14:textId="77777777" w:rsidR="00221E11" w:rsidRDefault="00221E11" w:rsidP="00473496">
      <w:pPr>
        <w:pStyle w:val="ListParagraph"/>
        <w:numPr>
          <w:ilvl w:val="0"/>
          <w:numId w:val="7"/>
        </w:numPr>
      </w:pPr>
      <w:r>
        <w:t>Failure to comply with a legal obligation</w:t>
      </w:r>
    </w:p>
    <w:p w14:paraId="059EC9BD" w14:textId="77777777" w:rsidR="00221E11" w:rsidRDefault="00221E11" w:rsidP="00473496">
      <w:pPr>
        <w:pStyle w:val="ListParagraph"/>
        <w:numPr>
          <w:ilvl w:val="0"/>
          <w:numId w:val="7"/>
        </w:numPr>
      </w:pPr>
      <w:r>
        <w:t>Miscarriage of justice</w:t>
      </w:r>
    </w:p>
    <w:p w14:paraId="37AE07EA" w14:textId="77777777" w:rsidR="00221E11" w:rsidRDefault="00221E11" w:rsidP="00473496">
      <w:pPr>
        <w:pStyle w:val="ListParagraph"/>
        <w:numPr>
          <w:ilvl w:val="0"/>
          <w:numId w:val="7"/>
        </w:numPr>
      </w:pPr>
      <w:r>
        <w:t>Danger to the health and safety of an individual</w:t>
      </w:r>
    </w:p>
    <w:p w14:paraId="2A7274F3" w14:textId="77777777" w:rsidR="00221E11" w:rsidRDefault="00221E11" w:rsidP="00473496">
      <w:pPr>
        <w:pStyle w:val="ListParagraph"/>
        <w:numPr>
          <w:ilvl w:val="0"/>
          <w:numId w:val="7"/>
        </w:numPr>
      </w:pPr>
      <w:r>
        <w:t>Damage to the environment</w:t>
      </w:r>
    </w:p>
    <w:p w14:paraId="03FD590F" w14:textId="77777777" w:rsidR="00221E11" w:rsidRDefault="00221E11" w:rsidP="00473496">
      <w:pPr>
        <w:pStyle w:val="ListParagraph"/>
        <w:numPr>
          <w:ilvl w:val="0"/>
          <w:numId w:val="7"/>
        </w:numPr>
      </w:pPr>
      <w:r>
        <w:t>Deliberate attempt to cover up any of the above</w:t>
      </w:r>
    </w:p>
    <w:p w14:paraId="294E5291" w14:textId="77777777" w:rsidR="00473496" w:rsidRDefault="00473496" w:rsidP="00221E11"/>
    <w:p w14:paraId="3CC24E68" w14:textId="77777777" w:rsidR="00221E11" w:rsidRPr="00D10955" w:rsidRDefault="00221E11" w:rsidP="00221E11">
      <w:pPr>
        <w:rPr>
          <w:b/>
          <w:color w:val="00B0F0"/>
          <w:sz w:val="28"/>
          <w:szCs w:val="28"/>
        </w:rPr>
      </w:pPr>
      <w:r w:rsidRPr="00D10955">
        <w:rPr>
          <w:b/>
          <w:color w:val="00B0F0"/>
          <w:sz w:val="28"/>
          <w:szCs w:val="28"/>
        </w:rPr>
        <w:t>Malicious reporting</w:t>
      </w:r>
    </w:p>
    <w:p w14:paraId="0546BB6F" w14:textId="77777777" w:rsidR="00221E11" w:rsidRDefault="00221E11" w:rsidP="00473496">
      <w:pPr>
        <w:pStyle w:val="ListParagraph"/>
        <w:numPr>
          <w:ilvl w:val="0"/>
          <w:numId w:val="8"/>
        </w:numPr>
      </w:pPr>
      <w:r>
        <w:t>Workers may sometimes make malicious</w:t>
      </w:r>
      <w:r w:rsidR="00473496">
        <w:t xml:space="preserve"> reports against individuals or </w:t>
      </w:r>
      <w:r>
        <w:t xml:space="preserve">organisations for personal gain, often after </w:t>
      </w:r>
      <w:r w:rsidR="00473496">
        <w:t xml:space="preserve">leaving employment. Disclosures </w:t>
      </w:r>
      <w:r>
        <w:t>that are malicious or knowingly untrue are not protected under the PIDA.</w:t>
      </w:r>
    </w:p>
    <w:p w14:paraId="05914807" w14:textId="77777777" w:rsidR="00473496" w:rsidRDefault="00473496" w:rsidP="00221E11"/>
    <w:p w14:paraId="3184D896" w14:textId="77777777" w:rsidR="00221E11" w:rsidRPr="00D10955" w:rsidRDefault="00221E11" w:rsidP="00221E11">
      <w:pPr>
        <w:rPr>
          <w:b/>
          <w:color w:val="00B0F0"/>
          <w:sz w:val="28"/>
          <w:szCs w:val="28"/>
        </w:rPr>
      </w:pPr>
      <w:r w:rsidRPr="00D10955">
        <w:rPr>
          <w:b/>
          <w:color w:val="00B0F0"/>
          <w:sz w:val="28"/>
          <w:szCs w:val="28"/>
        </w:rPr>
        <w:t>Limitations of anonymous reporting</w:t>
      </w:r>
    </w:p>
    <w:p w14:paraId="5075B421" w14:textId="77777777" w:rsidR="00221E11" w:rsidRDefault="00221E11" w:rsidP="00473496">
      <w:pPr>
        <w:pStyle w:val="ListParagraph"/>
        <w:numPr>
          <w:ilvl w:val="0"/>
          <w:numId w:val="8"/>
        </w:numPr>
      </w:pPr>
      <w:r>
        <w:t xml:space="preserve">Concerns raised anonymously can be more difficult </w:t>
      </w:r>
      <w:r w:rsidR="00473496">
        <w:t xml:space="preserve">to deal with effectively as the </w:t>
      </w:r>
      <w:r>
        <w:t>investigating officer may have little or no confirm</w:t>
      </w:r>
      <w:r w:rsidR="00473496">
        <w:t xml:space="preserve">ed evidence to substantiate the </w:t>
      </w:r>
      <w:r>
        <w:t>allegations and cannot obtain further informati</w:t>
      </w:r>
      <w:r w:rsidR="00473496">
        <w:t xml:space="preserve">on from the worker or give them </w:t>
      </w:r>
      <w:r>
        <w:t>feedback.</w:t>
      </w:r>
    </w:p>
    <w:p w14:paraId="4E8C3453" w14:textId="77777777" w:rsidR="00221E11" w:rsidRDefault="00221E11" w:rsidP="00473496">
      <w:pPr>
        <w:pStyle w:val="ListParagraph"/>
        <w:numPr>
          <w:ilvl w:val="0"/>
          <w:numId w:val="8"/>
        </w:numPr>
      </w:pPr>
      <w:r>
        <w:t>Employees should understand the implicatio</w:t>
      </w:r>
      <w:r w:rsidR="00473496">
        <w:t xml:space="preserve">ns of anonymous disclosures and </w:t>
      </w:r>
      <w:r>
        <w:t xml:space="preserve">the fact that proper investigations may be </w:t>
      </w:r>
      <w:r w:rsidR="00473496">
        <w:t xml:space="preserve">hindered as a result. It may be </w:t>
      </w:r>
      <w:r>
        <w:t xml:space="preserve">possible to raise a concern as a team or group </w:t>
      </w:r>
      <w:r w:rsidR="00473496">
        <w:t xml:space="preserve">of colleagues, if one member of </w:t>
      </w:r>
      <w:r>
        <w:t>staff does not want their individual identity to be known.</w:t>
      </w:r>
    </w:p>
    <w:p w14:paraId="73C021ED" w14:textId="77777777" w:rsidR="00221E11" w:rsidRDefault="00221E11" w:rsidP="00473496">
      <w:pPr>
        <w:pStyle w:val="ListParagraph"/>
        <w:numPr>
          <w:ilvl w:val="0"/>
          <w:numId w:val="8"/>
        </w:numPr>
      </w:pPr>
      <w:r>
        <w:t>All allegations should be taken serious</w:t>
      </w:r>
      <w:r w:rsidR="00473496">
        <w:t xml:space="preserve">ly whether anonymous or not and </w:t>
      </w:r>
      <w:r>
        <w:t>assessed to determine whether a full investigation is required.</w:t>
      </w:r>
    </w:p>
    <w:p w14:paraId="2CE26FC5" w14:textId="77777777" w:rsidR="00473496" w:rsidRDefault="00473496" w:rsidP="00221E11"/>
    <w:p w14:paraId="05E696FC" w14:textId="77777777" w:rsidR="00221E11" w:rsidRPr="00D10955" w:rsidRDefault="00221E11" w:rsidP="00221E11">
      <w:pPr>
        <w:rPr>
          <w:b/>
          <w:color w:val="00B0F0"/>
          <w:sz w:val="28"/>
          <w:szCs w:val="28"/>
        </w:rPr>
      </w:pPr>
      <w:r w:rsidRPr="00D10955">
        <w:rPr>
          <w:b/>
          <w:color w:val="00B0F0"/>
          <w:sz w:val="28"/>
          <w:szCs w:val="28"/>
        </w:rPr>
        <w:t>Independent advice and support</w:t>
      </w:r>
    </w:p>
    <w:p w14:paraId="7A3B00C8" w14:textId="77777777" w:rsidR="00221E11" w:rsidRDefault="00221E11" w:rsidP="0059785A">
      <w:pPr>
        <w:pStyle w:val="ListParagraph"/>
        <w:numPr>
          <w:ilvl w:val="0"/>
          <w:numId w:val="9"/>
        </w:numPr>
      </w:pPr>
      <w:r>
        <w:t>People who have raised concerns often say they feel</w:t>
      </w:r>
      <w:r w:rsidR="0059785A">
        <w:t xml:space="preserve"> isolated and unsure of what to </w:t>
      </w:r>
      <w:r>
        <w:t>do. It is important to access appropriate support at an e</w:t>
      </w:r>
      <w:r w:rsidR="0059785A">
        <w:t xml:space="preserve">arly stage. There are different </w:t>
      </w:r>
      <w:r>
        <w:t>types of advice and support available.</w:t>
      </w:r>
    </w:p>
    <w:p w14:paraId="449A048C" w14:textId="77777777" w:rsidR="00221E11" w:rsidRDefault="00221E11" w:rsidP="0059785A">
      <w:pPr>
        <w:pStyle w:val="ListParagraph"/>
        <w:numPr>
          <w:ilvl w:val="0"/>
          <w:numId w:val="9"/>
        </w:numPr>
      </w:pPr>
      <w:r>
        <w:t>Confidential advice can be obtain</w:t>
      </w:r>
      <w:r w:rsidR="0059785A">
        <w:t xml:space="preserve">ed from Protect, an independent </w:t>
      </w:r>
      <w:r>
        <w:t>whistleblowing charity. They provide advice</w:t>
      </w:r>
      <w:r w:rsidR="0059785A">
        <w:t xml:space="preserve"> to individuals and can help to </w:t>
      </w:r>
      <w:r>
        <w:t>raise a concern about malpractice at work.</w:t>
      </w:r>
    </w:p>
    <w:p w14:paraId="63AD4D7E" w14:textId="77777777" w:rsidR="00221E11" w:rsidRDefault="00221E11" w:rsidP="0059785A">
      <w:pPr>
        <w:pStyle w:val="ListParagraph"/>
        <w:numPr>
          <w:ilvl w:val="0"/>
          <w:numId w:val="9"/>
        </w:numPr>
      </w:pPr>
      <w:r>
        <w:t xml:space="preserve">Web: </w:t>
      </w:r>
      <w:hyperlink r:id="rId8" w:history="1">
        <w:r w:rsidR="000D0362" w:rsidRPr="00066C12">
          <w:rPr>
            <w:rStyle w:val="Hyperlink"/>
          </w:rPr>
          <w:t>https://protect-advice.org.uk/</w:t>
        </w:r>
      </w:hyperlink>
      <w:r w:rsidR="000D0362">
        <w:t xml:space="preserve"> </w:t>
      </w:r>
    </w:p>
    <w:p w14:paraId="0A82C46D" w14:textId="77777777" w:rsidR="00221E11" w:rsidRDefault="00221E11" w:rsidP="0059785A">
      <w:pPr>
        <w:pStyle w:val="ListParagraph"/>
        <w:numPr>
          <w:ilvl w:val="0"/>
          <w:numId w:val="9"/>
        </w:numPr>
      </w:pPr>
      <w:r>
        <w:t>Whistleblowing Advice Line: 020 3117 2520</w:t>
      </w:r>
    </w:p>
    <w:p w14:paraId="55B6416B" w14:textId="77777777" w:rsidR="00221E11" w:rsidRDefault="00221E11" w:rsidP="0059785A">
      <w:pPr>
        <w:pStyle w:val="ListParagraph"/>
        <w:numPr>
          <w:ilvl w:val="0"/>
          <w:numId w:val="9"/>
        </w:numPr>
      </w:pPr>
      <w:r>
        <w:t xml:space="preserve">Email Advice Line: </w:t>
      </w:r>
      <w:hyperlink r:id="rId9" w:history="1">
        <w:r w:rsidR="002653FB" w:rsidRPr="002C5547">
          <w:rPr>
            <w:rStyle w:val="Hyperlink"/>
          </w:rPr>
          <w:t>info@protect-advice.org.uk</w:t>
        </w:r>
      </w:hyperlink>
      <w:r w:rsidR="002653FB">
        <w:t xml:space="preserve"> </w:t>
      </w:r>
    </w:p>
    <w:p w14:paraId="4BF88C13" w14:textId="77777777" w:rsidR="00221E11" w:rsidRDefault="00221E11" w:rsidP="0059785A">
      <w:pPr>
        <w:pStyle w:val="ListParagraph"/>
        <w:numPr>
          <w:ilvl w:val="0"/>
          <w:numId w:val="9"/>
        </w:numPr>
      </w:pPr>
      <w:r>
        <w:t>Trade unions or relevant professional bodies can a</w:t>
      </w:r>
      <w:r w:rsidR="0059785A">
        <w:t xml:space="preserve">lso be contacted for advice. In </w:t>
      </w:r>
      <w:r>
        <w:t>certain circumstances a solicitor may be appropriate.</w:t>
      </w:r>
    </w:p>
    <w:p w14:paraId="19228574" w14:textId="77777777" w:rsidR="00221E11" w:rsidRDefault="00221E11" w:rsidP="0059785A">
      <w:pPr>
        <w:pStyle w:val="ListParagraph"/>
        <w:numPr>
          <w:ilvl w:val="0"/>
          <w:numId w:val="9"/>
        </w:numPr>
      </w:pPr>
      <w:r>
        <w:t>Emotional or therapeutic support, such as counselling servic</w:t>
      </w:r>
      <w:r w:rsidR="0059785A">
        <w:t xml:space="preserve">es are available via an </w:t>
      </w:r>
      <w:r>
        <w:t>individual’s employer or GP.</w:t>
      </w:r>
    </w:p>
    <w:p w14:paraId="5C6670BB" w14:textId="77777777" w:rsidR="0059785A" w:rsidRDefault="0059785A" w:rsidP="00221E11"/>
    <w:p w14:paraId="60FF9B9C" w14:textId="77777777" w:rsidR="0059785A" w:rsidRDefault="0059785A" w:rsidP="00221E11"/>
    <w:p w14:paraId="49019C2B" w14:textId="77777777" w:rsidR="0059785A" w:rsidRDefault="0059785A" w:rsidP="00221E11"/>
    <w:p w14:paraId="5DD0F80F" w14:textId="77777777" w:rsidR="00221E11" w:rsidRPr="00D10955" w:rsidRDefault="00221E11" w:rsidP="00221E11">
      <w:pPr>
        <w:rPr>
          <w:b/>
          <w:color w:val="00B0F0"/>
          <w:sz w:val="28"/>
          <w:szCs w:val="28"/>
        </w:rPr>
      </w:pPr>
      <w:r w:rsidRPr="00D10955">
        <w:rPr>
          <w:b/>
          <w:color w:val="00B0F0"/>
          <w:sz w:val="28"/>
          <w:szCs w:val="28"/>
        </w:rPr>
        <w:t>If you have a whistleblowing concern</w:t>
      </w:r>
    </w:p>
    <w:p w14:paraId="34C93A81" w14:textId="77777777" w:rsidR="00221E11" w:rsidRDefault="00221E11" w:rsidP="00221E11">
      <w:r>
        <w:t xml:space="preserve">Anyone who has a concern or worry that something </w:t>
      </w:r>
      <w:r w:rsidR="0059785A">
        <w:t xml:space="preserve">is wrong or needs investigating </w:t>
      </w:r>
      <w:r>
        <w:t>should raise it at the earliest opportunity.</w:t>
      </w:r>
    </w:p>
    <w:p w14:paraId="26D645A6" w14:textId="77777777" w:rsidR="0059785A" w:rsidRDefault="0059785A" w:rsidP="00221E11"/>
    <w:p w14:paraId="053AC288" w14:textId="77777777" w:rsidR="00221E11" w:rsidRPr="00D10955" w:rsidRDefault="00221E11" w:rsidP="00D10955">
      <w:pPr>
        <w:jc w:val="center"/>
        <w:rPr>
          <w:b/>
          <w:color w:val="00B0F0"/>
          <w:sz w:val="32"/>
          <w:szCs w:val="32"/>
        </w:rPr>
      </w:pPr>
      <w:r w:rsidRPr="00D10955">
        <w:rPr>
          <w:b/>
          <w:color w:val="00B0F0"/>
          <w:sz w:val="32"/>
          <w:szCs w:val="32"/>
        </w:rPr>
        <w:t>If in doubt – raise it!</w:t>
      </w:r>
    </w:p>
    <w:p w14:paraId="3A458AFD" w14:textId="77777777" w:rsidR="0059785A" w:rsidRDefault="0059785A" w:rsidP="00221E11"/>
    <w:p w14:paraId="18F1CC80" w14:textId="77777777" w:rsidR="00221E11" w:rsidRPr="00D10955" w:rsidRDefault="00221E11" w:rsidP="00221E11">
      <w:pPr>
        <w:rPr>
          <w:b/>
          <w:color w:val="00B0F0"/>
          <w:sz w:val="28"/>
          <w:szCs w:val="28"/>
        </w:rPr>
      </w:pPr>
      <w:r w:rsidRPr="00D10955">
        <w:rPr>
          <w:b/>
          <w:color w:val="00B0F0"/>
          <w:sz w:val="28"/>
          <w:szCs w:val="28"/>
        </w:rPr>
        <w:t>Useful Contact Numbers</w:t>
      </w:r>
    </w:p>
    <w:p w14:paraId="0F3F1402" w14:textId="77777777" w:rsidR="000D0362" w:rsidRDefault="000D0362" w:rsidP="000D0362">
      <w:r>
        <w:t xml:space="preserve">Rochdale Adult Care - </w:t>
      </w:r>
    </w:p>
    <w:p w14:paraId="01EF4B79" w14:textId="77777777" w:rsidR="000D0362" w:rsidRDefault="000D0362" w:rsidP="000D0362">
      <w:r>
        <w:t>Number One Riverside</w:t>
      </w:r>
    </w:p>
    <w:p w14:paraId="542F2404" w14:textId="77777777" w:rsidR="000D0362" w:rsidRDefault="000D0362" w:rsidP="000D0362">
      <w:r>
        <w:t>Smith Street</w:t>
      </w:r>
    </w:p>
    <w:p w14:paraId="2F859D1A" w14:textId="77777777" w:rsidR="000D0362" w:rsidRDefault="000D0362" w:rsidP="000D0362">
      <w:r>
        <w:t>Rochdale, OL16 1XU</w:t>
      </w:r>
    </w:p>
    <w:p w14:paraId="33E8AB4A" w14:textId="77777777" w:rsidR="000D0362" w:rsidRDefault="000D0362" w:rsidP="000D0362">
      <w:r w:rsidRPr="000D0362">
        <w:t>0300 303 8886</w:t>
      </w:r>
      <w:r>
        <w:t xml:space="preserve"> or </w:t>
      </w:r>
      <w:hyperlink r:id="rId10" w:history="1">
        <w:r w:rsidRPr="00066C12">
          <w:rPr>
            <w:rStyle w:val="Hyperlink"/>
          </w:rPr>
          <w:t>adult.care@rochdale.gov.uk</w:t>
        </w:r>
      </w:hyperlink>
      <w:r>
        <w:t xml:space="preserve"> </w:t>
      </w:r>
    </w:p>
    <w:p w14:paraId="7FFFFC3D" w14:textId="77777777" w:rsidR="00221E11" w:rsidRDefault="000D0362" w:rsidP="000D0362">
      <w:r>
        <w:t>Out of office hours 0300 303 8875</w:t>
      </w:r>
    </w:p>
    <w:p w14:paraId="1A7C9F82" w14:textId="77777777" w:rsidR="000D0362" w:rsidRDefault="000D0362" w:rsidP="00221E11"/>
    <w:p w14:paraId="39FFEEB5" w14:textId="77777777" w:rsidR="000D0362" w:rsidRDefault="000D0362" w:rsidP="00221E11">
      <w:r>
        <w:t>Rochdale Children’s Social Care</w:t>
      </w:r>
    </w:p>
    <w:p w14:paraId="2A755D3D" w14:textId="77777777" w:rsidR="000D0362" w:rsidRDefault="000D0362" w:rsidP="000D0362">
      <w:r>
        <w:t>Number One Riverside</w:t>
      </w:r>
    </w:p>
    <w:p w14:paraId="7386AB93" w14:textId="77777777" w:rsidR="000D0362" w:rsidRDefault="000D0362" w:rsidP="000D0362">
      <w:r>
        <w:t>Smith Street</w:t>
      </w:r>
    </w:p>
    <w:p w14:paraId="10710C02" w14:textId="77777777" w:rsidR="000D0362" w:rsidRDefault="000D0362" w:rsidP="000D0362">
      <w:r>
        <w:t>Rochdale, OL16 1XU</w:t>
      </w:r>
    </w:p>
    <w:p w14:paraId="5BE667E4" w14:textId="77777777" w:rsidR="000D0362" w:rsidRDefault="000D0362" w:rsidP="000D0362">
      <w:r w:rsidRPr="000D0362">
        <w:t>0300 303 0440</w:t>
      </w:r>
      <w:r>
        <w:t xml:space="preserve"> or </w:t>
      </w:r>
      <w:hyperlink r:id="rId11" w:history="1">
        <w:r w:rsidRPr="00066C12">
          <w:rPr>
            <w:rStyle w:val="Hyperlink"/>
          </w:rPr>
          <w:t>ehash@rochdale.gov.uk</w:t>
        </w:r>
      </w:hyperlink>
      <w:r>
        <w:t xml:space="preserve"> </w:t>
      </w:r>
    </w:p>
    <w:p w14:paraId="312C7464" w14:textId="77777777" w:rsidR="000D0362" w:rsidRPr="000D0362" w:rsidRDefault="000D0362" w:rsidP="000D0362">
      <w:r w:rsidRPr="000D0362">
        <w:t>Out of office hours 0300 303 8875</w:t>
      </w:r>
    </w:p>
    <w:p w14:paraId="1179DCA6" w14:textId="77777777" w:rsidR="000D0362" w:rsidRDefault="000D0362" w:rsidP="000D0362"/>
    <w:p w14:paraId="0B128840" w14:textId="77777777" w:rsidR="000D0362" w:rsidRDefault="000D0362" w:rsidP="000D0362">
      <w:r w:rsidRPr="000D0362">
        <w:t xml:space="preserve">Rochdale Allegation Management Lead (AML) – for any concerns regarding an adult working or volunteering with adults: </w:t>
      </w:r>
      <w:hyperlink r:id="rId12" w:history="1">
        <w:r w:rsidRPr="00066C12">
          <w:rPr>
            <w:rStyle w:val="Hyperlink"/>
          </w:rPr>
          <w:t>aml@rochdale.gov.uk</w:t>
        </w:r>
      </w:hyperlink>
      <w:r>
        <w:t xml:space="preserve"> </w:t>
      </w:r>
    </w:p>
    <w:p w14:paraId="6101BEB6" w14:textId="77777777" w:rsidR="000D0362" w:rsidRDefault="000D0362" w:rsidP="00221E11"/>
    <w:p w14:paraId="1AFE468D" w14:textId="77777777" w:rsidR="00221E11" w:rsidRDefault="00897071" w:rsidP="00221E11">
      <w:r>
        <w:t>Rochdale</w:t>
      </w:r>
      <w:r w:rsidR="0059785A">
        <w:t xml:space="preserve"> Local Authority </w:t>
      </w:r>
      <w:r>
        <w:t>Designated Officer (LADO)</w:t>
      </w:r>
      <w:r w:rsidR="00221E11">
        <w:t xml:space="preserve"> </w:t>
      </w:r>
      <w:r w:rsidR="0059785A">
        <w:t xml:space="preserve">– for any concerns regarding an </w:t>
      </w:r>
      <w:r w:rsidR="00221E11">
        <w:t>adult workin</w:t>
      </w:r>
      <w:r>
        <w:t xml:space="preserve">g or volunteering with children: </w:t>
      </w:r>
      <w:hyperlink r:id="rId13" w:history="1">
        <w:r w:rsidRPr="00467B1F">
          <w:rPr>
            <w:rStyle w:val="Hyperlink"/>
          </w:rPr>
          <w:t>lado@rochdale.gov.uk</w:t>
        </w:r>
      </w:hyperlink>
      <w:r>
        <w:t xml:space="preserve"> </w:t>
      </w:r>
    </w:p>
    <w:p w14:paraId="27E5616C" w14:textId="77777777" w:rsidR="00897071" w:rsidRDefault="00897071" w:rsidP="00221E11"/>
    <w:p w14:paraId="25D729AD" w14:textId="77777777" w:rsidR="000D0362" w:rsidRDefault="000D0362" w:rsidP="00221E11">
      <w:r>
        <w:t>Organisation-specific contacts:</w:t>
      </w:r>
    </w:p>
    <w:p w14:paraId="4A66A997" w14:textId="77777777" w:rsidR="00221E11" w:rsidRDefault="00221E11" w:rsidP="00897071">
      <w:pPr>
        <w:pStyle w:val="ListParagraph"/>
        <w:numPr>
          <w:ilvl w:val="0"/>
          <w:numId w:val="12"/>
        </w:numPr>
      </w:pPr>
      <w:r>
        <w:t>Poli</w:t>
      </w:r>
      <w:r w:rsidR="00897071">
        <w:t xml:space="preserve">ce Integrity Line– </w:t>
      </w:r>
      <w:r w:rsidR="00897071" w:rsidRPr="00897071">
        <w:t>As a police employee, you can use this form to give information</w:t>
      </w:r>
      <w:r w:rsidR="00897071">
        <w:t xml:space="preserve"> anonymously - </w:t>
      </w:r>
      <w:r w:rsidR="00897071" w:rsidRPr="00897071">
        <w:t>0800 111 444</w:t>
      </w:r>
    </w:p>
    <w:p w14:paraId="5F84D43B" w14:textId="77777777" w:rsidR="00221E11" w:rsidRDefault="00897071" w:rsidP="00897071">
      <w:pPr>
        <w:ind w:firstLine="360"/>
      </w:pPr>
      <w:r>
        <w:t xml:space="preserve">Police Anti-Corruption Unit - </w:t>
      </w:r>
      <w:r w:rsidRPr="00897071">
        <w:t>01452 753480</w:t>
      </w:r>
    </w:p>
    <w:p w14:paraId="05CEB520" w14:textId="77777777" w:rsidR="00AA1F2D" w:rsidRDefault="00AA1F2D" w:rsidP="00AA1F2D">
      <w:pPr>
        <w:pStyle w:val="ListParagraph"/>
        <w:numPr>
          <w:ilvl w:val="0"/>
          <w:numId w:val="12"/>
        </w:numPr>
      </w:pPr>
      <w:r>
        <w:t>NHS Whistleblowing – Speak Up Service</w:t>
      </w:r>
    </w:p>
    <w:p w14:paraId="6607505C" w14:textId="77777777" w:rsidR="00AA1F2D" w:rsidRDefault="00AA1F2D" w:rsidP="00AA1F2D">
      <w:pPr>
        <w:pStyle w:val="ListParagraph"/>
        <w:ind w:left="360"/>
      </w:pPr>
      <w:r>
        <w:t xml:space="preserve">Telephone: </w:t>
      </w:r>
      <w:r w:rsidRPr="00AA1F2D">
        <w:t>08000 724 725</w:t>
      </w:r>
    </w:p>
    <w:p w14:paraId="41A2BB0E" w14:textId="77777777" w:rsidR="00221E11" w:rsidRDefault="00AA1F2D" w:rsidP="00AA1F2D">
      <w:pPr>
        <w:pStyle w:val="ListParagraph"/>
        <w:ind w:left="360"/>
      </w:pPr>
      <w:r>
        <w:t xml:space="preserve">Email: </w:t>
      </w:r>
      <w:hyperlink r:id="rId14" w:history="1">
        <w:r w:rsidRPr="00D423ED">
          <w:rPr>
            <w:rStyle w:val="Hyperlink"/>
          </w:rPr>
          <w:t>england.speakup1@nhs.net</w:t>
        </w:r>
      </w:hyperlink>
    </w:p>
    <w:p w14:paraId="1AEED590" w14:textId="77777777" w:rsidR="00AA1F2D" w:rsidRDefault="00AA1F2D" w:rsidP="00AA1F2D">
      <w:pPr>
        <w:pStyle w:val="ListParagraph"/>
        <w:ind w:left="360"/>
      </w:pPr>
      <w:r>
        <w:t xml:space="preserve">Website: </w:t>
      </w:r>
      <w:hyperlink r:id="rId15" w:history="1">
        <w:r w:rsidRPr="00D423ED">
          <w:rPr>
            <w:rStyle w:val="Hyperlink"/>
          </w:rPr>
          <w:t>https://speakup.direct/</w:t>
        </w:r>
      </w:hyperlink>
      <w:r>
        <w:t xml:space="preserve"> </w:t>
      </w:r>
    </w:p>
    <w:p w14:paraId="5783C81B" w14:textId="77777777" w:rsidR="00AA1F2D" w:rsidRDefault="00AA1F2D" w:rsidP="00AA1F2D">
      <w:pPr>
        <w:pStyle w:val="ListParagraph"/>
        <w:ind w:left="360"/>
      </w:pPr>
    </w:p>
    <w:p w14:paraId="75A0A8FE" w14:textId="77777777" w:rsidR="00221E11" w:rsidRPr="00D10955" w:rsidRDefault="00221E11" w:rsidP="00221E11">
      <w:pPr>
        <w:rPr>
          <w:b/>
          <w:color w:val="00B0F0"/>
          <w:sz w:val="28"/>
          <w:szCs w:val="28"/>
        </w:rPr>
      </w:pPr>
      <w:r w:rsidRPr="00D10955">
        <w:rPr>
          <w:b/>
          <w:color w:val="00B0F0"/>
          <w:sz w:val="28"/>
          <w:szCs w:val="28"/>
        </w:rPr>
        <w:t>General Data Protection Regulation (GDPR)</w:t>
      </w:r>
    </w:p>
    <w:p w14:paraId="2F801BC6" w14:textId="77777777" w:rsidR="00221E11" w:rsidRDefault="00221E11" w:rsidP="00221E11">
      <w:r>
        <w:t>GDPR came into force on 25th May 2018. GDPR is not a barri</w:t>
      </w:r>
      <w:r w:rsidR="0059785A">
        <w:t xml:space="preserve">er to the legitimate sharing of </w:t>
      </w:r>
      <w:r>
        <w:t>information; it is a framework to ensure that personal informat</w:t>
      </w:r>
      <w:r w:rsidR="0059785A">
        <w:t xml:space="preserve">ion about living individuals is </w:t>
      </w:r>
      <w:r>
        <w:t>shared appropriately. Once information is shared with anoth</w:t>
      </w:r>
      <w:r w:rsidR="0059785A">
        <w:t xml:space="preserve">er organisation they become the </w:t>
      </w:r>
      <w:r>
        <w:t xml:space="preserve">controller of the shared information and are responsible </w:t>
      </w:r>
      <w:r w:rsidR="0059785A">
        <w:t xml:space="preserve">and accountable for the use and </w:t>
      </w:r>
      <w:r>
        <w:t>protection of it.</w:t>
      </w:r>
    </w:p>
    <w:p w14:paraId="60B64C60" w14:textId="77777777" w:rsidR="0059785A" w:rsidRDefault="0059785A" w:rsidP="00221E11"/>
    <w:p w14:paraId="4C9CE9B9" w14:textId="77777777" w:rsidR="006C7AD1" w:rsidRDefault="00D10955" w:rsidP="00221E11">
      <w:r w:rsidRPr="002E4622">
        <w:t>RB</w:t>
      </w:r>
      <w:r w:rsidR="00221E11" w:rsidRPr="002E4622">
        <w:t>SAB Information Sharing Guidance has been updated to ref</w:t>
      </w:r>
      <w:r w:rsidR="0059785A" w:rsidRPr="002E4622">
        <w:t xml:space="preserve">lect GDPR and covers all of the </w:t>
      </w:r>
      <w:r w:rsidR="00051F54" w:rsidRPr="002E4622">
        <w:t>agencies represented on the RB</w:t>
      </w:r>
      <w:r w:rsidR="00221E11" w:rsidRPr="002E4622">
        <w:t>SAB. It provides a frame</w:t>
      </w:r>
      <w:r w:rsidR="0059785A" w:rsidRPr="002E4622">
        <w:t xml:space="preserve">work for making decisions about </w:t>
      </w:r>
      <w:r w:rsidR="00221E11" w:rsidRPr="002E4622">
        <w:t>sharing information in order to help protect adults with ca</w:t>
      </w:r>
      <w:r w:rsidR="0059785A" w:rsidRPr="002E4622">
        <w:t xml:space="preserve">re and support needs who may be </w:t>
      </w:r>
      <w:r w:rsidR="00221E11" w:rsidRPr="002E4622">
        <w:t>experiencing or at risk of abuse or neglect</w:t>
      </w:r>
      <w:r w:rsidRPr="002E4622">
        <w:t xml:space="preserve">. The guidance can be found at </w:t>
      </w:r>
      <w:hyperlink r:id="rId16" w:history="1">
        <w:r w:rsidRPr="002E4622">
          <w:rPr>
            <w:rStyle w:val="Hyperlink"/>
          </w:rPr>
          <w:t>www.rochdalesafeguarding.com</w:t>
        </w:r>
      </w:hyperlink>
      <w:r w:rsidRPr="002E4622">
        <w:t xml:space="preserve"> </w:t>
      </w:r>
    </w:p>
    <w:sectPr w:rsidR="006C7AD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9BC5" w14:textId="77777777" w:rsidR="009A1873" w:rsidRDefault="009A1873" w:rsidP="009A1873">
      <w:r>
        <w:separator/>
      </w:r>
    </w:p>
  </w:endnote>
  <w:endnote w:type="continuationSeparator" w:id="0">
    <w:p w14:paraId="0242F583" w14:textId="77777777" w:rsidR="009A1873" w:rsidRDefault="009A1873" w:rsidP="009A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261546"/>
      <w:docPartObj>
        <w:docPartGallery w:val="Page Numbers (Bottom of Page)"/>
        <w:docPartUnique/>
      </w:docPartObj>
    </w:sdtPr>
    <w:sdtEndPr>
      <w:rPr>
        <w:noProof/>
      </w:rPr>
    </w:sdtEndPr>
    <w:sdtContent>
      <w:p w14:paraId="42B19DEB" w14:textId="77777777" w:rsidR="009A1873" w:rsidRDefault="009A1873">
        <w:pPr>
          <w:pStyle w:val="Footer"/>
          <w:jc w:val="right"/>
        </w:pPr>
        <w:r>
          <w:fldChar w:fldCharType="begin"/>
        </w:r>
        <w:r>
          <w:instrText xml:space="preserve"> PAGE   \* MERGEFORMAT </w:instrText>
        </w:r>
        <w:r>
          <w:fldChar w:fldCharType="separate"/>
        </w:r>
        <w:r w:rsidR="003B6E76">
          <w:rPr>
            <w:noProof/>
          </w:rPr>
          <w:t>7</w:t>
        </w:r>
        <w:r>
          <w:rPr>
            <w:noProof/>
          </w:rPr>
          <w:fldChar w:fldCharType="end"/>
        </w:r>
      </w:p>
    </w:sdtContent>
  </w:sdt>
  <w:p w14:paraId="330425FA" w14:textId="77777777" w:rsidR="009A1873" w:rsidRDefault="009A1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D5DD" w14:textId="77777777" w:rsidR="009A1873" w:rsidRDefault="009A1873" w:rsidP="009A1873">
      <w:r>
        <w:separator/>
      </w:r>
    </w:p>
  </w:footnote>
  <w:footnote w:type="continuationSeparator" w:id="0">
    <w:p w14:paraId="25B804EC" w14:textId="77777777" w:rsidR="009A1873" w:rsidRDefault="009A1873" w:rsidP="009A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CB8"/>
    <w:multiLevelType w:val="hybridMultilevel"/>
    <w:tmpl w:val="E78E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D0E2A"/>
    <w:multiLevelType w:val="hybridMultilevel"/>
    <w:tmpl w:val="57ACC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D1B52"/>
    <w:multiLevelType w:val="hybridMultilevel"/>
    <w:tmpl w:val="B25E6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A15F4"/>
    <w:multiLevelType w:val="hybridMultilevel"/>
    <w:tmpl w:val="CA98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2657"/>
    <w:multiLevelType w:val="hybridMultilevel"/>
    <w:tmpl w:val="F0547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847B39"/>
    <w:multiLevelType w:val="hybridMultilevel"/>
    <w:tmpl w:val="05642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165A5"/>
    <w:multiLevelType w:val="hybridMultilevel"/>
    <w:tmpl w:val="5162B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5337D2"/>
    <w:multiLevelType w:val="hybridMultilevel"/>
    <w:tmpl w:val="A5DC9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364961"/>
    <w:multiLevelType w:val="hybridMultilevel"/>
    <w:tmpl w:val="BD88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42493"/>
    <w:multiLevelType w:val="hybridMultilevel"/>
    <w:tmpl w:val="89DA1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D2556F"/>
    <w:multiLevelType w:val="hybridMultilevel"/>
    <w:tmpl w:val="B5AA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A902CD"/>
    <w:multiLevelType w:val="hybridMultilevel"/>
    <w:tmpl w:val="33DAA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2048943">
    <w:abstractNumId w:val="2"/>
  </w:num>
  <w:num w:numId="2" w16cid:durableId="2003854725">
    <w:abstractNumId w:val="5"/>
  </w:num>
  <w:num w:numId="3" w16cid:durableId="1721858070">
    <w:abstractNumId w:val="9"/>
  </w:num>
  <w:num w:numId="4" w16cid:durableId="1761756359">
    <w:abstractNumId w:val="10"/>
  </w:num>
  <w:num w:numId="5" w16cid:durableId="2010331927">
    <w:abstractNumId w:val="8"/>
  </w:num>
  <w:num w:numId="6" w16cid:durableId="1198274418">
    <w:abstractNumId w:val="4"/>
  </w:num>
  <w:num w:numId="7" w16cid:durableId="696737377">
    <w:abstractNumId w:val="6"/>
  </w:num>
  <w:num w:numId="8" w16cid:durableId="1713194157">
    <w:abstractNumId w:val="7"/>
  </w:num>
  <w:num w:numId="9" w16cid:durableId="1131828506">
    <w:abstractNumId w:val="11"/>
  </w:num>
  <w:num w:numId="10" w16cid:durableId="2033065955">
    <w:abstractNumId w:val="3"/>
  </w:num>
  <w:num w:numId="11" w16cid:durableId="1189561833">
    <w:abstractNumId w:val="0"/>
  </w:num>
  <w:num w:numId="12" w16cid:durableId="119033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11"/>
    <w:rsid w:val="00051F54"/>
    <w:rsid w:val="000D0362"/>
    <w:rsid w:val="00123ACB"/>
    <w:rsid w:val="00221E11"/>
    <w:rsid w:val="002653FB"/>
    <w:rsid w:val="002E4622"/>
    <w:rsid w:val="003B6E76"/>
    <w:rsid w:val="00473496"/>
    <w:rsid w:val="004B6CA1"/>
    <w:rsid w:val="0059785A"/>
    <w:rsid w:val="006C7AD1"/>
    <w:rsid w:val="00897071"/>
    <w:rsid w:val="009A1873"/>
    <w:rsid w:val="00A27C64"/>
    <w:rsid w:val="00A3597F"/>
    <w:rsid w:val="00AA1F2D"/>
    <w:rsid w:val="00C026E1"/>
    <w:rsid w:val="00C82B96"/>
    <w:rsid w:val="00D10955"/>
    <w:rsid w:val="00DD311D"/>
    <w:rsid w:val="00F44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83B7"/>
  <w15:chartTrackingRefBased/>
  <w15:docId w15:val="{F96BDCBA-52C9-46B8-9237-CD6B3BED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E11"/>
    <w:pPr>
      <w:ind w:left="720"/>
      <w:contextualSpacing/>
    </w:pPr>
  </w:style>
  <w:style w:type="table" w:styleId="TableGrid">
    <w:name w:val="Table Grid"/>
    <w:basedOn w:val="TableNormal"/>
    <w:uiPriority w:val="39"/>
    <w:rsid w:val="00C0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955"/>
    <w:rPr>
      <w:color w:val="0563C1" w:themeColor="hyperlink"/>
      <w:u w:val="single"/>
    </w:rPr>
  </w:style>
  <w:style w:type="paragraph" w:styleId="Header">
    <w:name w:val="header"/>
    <w:basedOn w:val="Normal"/>
    <w:link w:val="HeaderChar"/>
    <w:uiPriority w:val="99"/>
    <w:unhideWhenUsed/>
    <w:rsid w:val="009A1873"/>
    <w:pPr>
      <w:tabs>
        <w:tab w:val="center" w:pos="4513"/>
        <w:tab w:val="right" w:pos="9026"/>
      </w:tabs>
    </w:pPr>
  </w:style>
  <w:style w:type="character" w:customStyle="1" w:styleId="HeaderChar">
    <w:name w:val="Header Char"/>
    <w:basedOn w:val="DefaultParagraphFont"/>
    <w:link w:val="Header"/>
    <w:uiPriority w:val="99"/>
    <w:rsid w:val="009A1873"/>
  </w:style>
  <w:style w:type="paragraph" w:styleId="Footer">
    <w:name w:val="footer"/>
    <w:basedOn w:val="Normal"/>
    <w:link w:val="FooterChar"/>
    <w:uiPriority w:val="99"/>
    <w:unhideWhenUsed/>
    <w:rsid w:val="009A1873"/>
    <w:pPr>
      <w:tabs>
        <w:tab w:val="center" w:pos="4513"/>
        <w:tab w:val="right" w:pos="9026"/>
      </w:tabs>
    </w:pPr>
  </w:style>
  <w:style w:type="character" w:customStyle="1" w:styleId="FooterChar">
    <w:name w:val="Footer Char"/>
    <w:basedOn w:val="DefaultParagraphFont"/>
    <w:link w:val="Footer"/>
    <w:uiPriority w:val="99"/>
    <w:rsid w:val="009A1873"/>
  </w:style>
  <w:style w:type="character" w:styleId="FollowedHyperlink">
    <w:name w:val="FollowedHyperlink"/>
    <w:basedOn w:val="DefaultParagraphFont"/>
    <w:uiPriority w:val="99"/>
    <w:semiHidden/>
    <w:unhideWhenUsed/>
    <w:rsid w:val="00AA1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13" Type="http://schemas.openxmlformats.org/officeDocument/2006/relationships/hyperlink" Target="mailto:lado@rochdale.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ml@rochdale.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ochdalesafeguard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ash@rochdale.gov.uk" TargetMode="External"/><Relationship Id="rId5" Type="http://schemas.openxmlformats.org/officeDocument/2006/relationships/footnotes" Target="footnotes.xml"/><Relationship Id="rId15" Type="http://schemas.openxmlformats.org/officeDocument/2006/relationships/hyperlink" Target="https://speakup.direct/" TargetMode="External"/><Relationship Id="rId10" Type="http://schemas.openxmlformats.org/officeDocument/2006/relationships/hyperlink" Target="mailto:adult.care@rochdal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protect-advice.org.uk" TargetMode="External"/><Relationship Id="rId14" Type="http://schemas.openxmlformats.org/officeDocument/2006/relationships/hyperlink" Target="mailto:england.speakup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2</cp:revision>
  <dcterms:created xsi:type="dcterms:W3CDTF">2025-09-19T12:35:00Z</dcterms:created>
  <dcterms:modified xsi:type="dcterms:W3CDTF">2025-09-19T12:35:00Z</dcterms:modified>
</cp:coreProperties>
</file>