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D2F" w:rsidRDefault="00543D2F" w:rsidP="00543D2F">
      <w:pPr>
        <w:jc w:val="center"/>
        <w:rPr>
          <w:b/>
          <w:color w:val="00B0F0"/>
          <w:sz w:val="48"/>
          <w:szCs w:val="48"/>
        </w:rPr>
      </w:pPr>
      <w:r>
        <w:rPr>
          <w:b/>
          <w:noProof/>
          <w:color w:val="00B0F0"/>
          <w:sz w:val="56"/>
          <w:szCs w:val="56"/>
          <w:lang w:eastAsia="en-GB"/>
        </w:rPr>
        <w:drawing>
          <wp:anchor distT="0" distB="0" distL="114300" distR="114300" simplePos="0" relativeHeight="251659264" behindDoc="0" locked="0" layoutInCell="1" allowOverlap="1" wp14:anchorId="67BFD252" wp14:editId="44F49198">
            <wp:simplePos x="0" y="0"/>
            <wp:positionH relativeFrom="column">
              <wp:posOffset>3793067</wp:posOffset>
            </wp:positionH>
            <wp:positionV relativeFrom="paragraph">
              <wp:posOffset>8678</wp:posOffset>
            </wp:positionV>
            <wp:extent cx="2352040" cy="1085850"/>
            <wp:effectExtent l="0" t="0" r="0" b="0"/>
            <wp:wrapSquare wrapText="bothSides"/>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SA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52040" cy="1085850"/>
                    </a:xfrm>
                    <a:prstGeom prst="rect">
                      <a:avLst/>
                    </a:prstGeom>
                  </pic:spPr>
                </pic:pic>
              </a:graphicData>
            </a:graphic>
            <wp14:sizeRelH relativeFrom="page">
              <wp14:pctWidth>0</wp14:pctWidth>
            </wp14:sizeRelH>
            <wp14:sizeRelV relativeFrom="page">
              <wp14:pctHeight>0</wp14:pctHeight>
            </wp14:sizeRelV>
          </wp:anchor>
        </w:drawing>
      </w:r>
    </w:p>
    <w:p w:rsidR="00543D2F" w:rsidRDefault="00543D2F" w:rsidP="00543D2F">
      <w:pPr>
        <w:jc w:val="center"/>
        <w:rPr>
          <w:b/>
          <w:color w:val="00B0F0"/>
          <w:sz w:val="48"/>
          <w:szCs w:val="48"/>
        </w:rPr>
      </w:pPr>
    </w:p>
    <w:p w:rsidR="00543D2F" w:rsidRDefault="00543D2F" w:rsidP="00543D2F">
      <w:pPr>
        <w:jc w:val="center"/>
        <w:rPr>
          <w:b/>
          <w:color w:val="00B0F0"/>
          <w:sz w:val="48"/>
          <w:szCs w:val="48"/>
        </w:rPr>
      </w:pPr>
    </w:p>
    <w:p w:rsidR="00543D2F" w:rsidRDefault="00543D2F" w:rsidP="00543D2F">
      <w:pPr>
        <w:jc w:val="center"/>
        <w:rPr>
          <w:b/>
          <w:color w:val="00B0F0"/>
          <w:sz w:val="48"/>
          <w:szCs w:val="48"/>
        </w:rPr>
      </w:pPr>
    </w:p>
    <w:p w:rsidR="00543D2F" w:rsidRDefault="00543D2F" w:rsidP="00543D2F">
      <w:pPr>
        <w:jc w:val="center"/>
        <w:rPr>
          <w:b/>
          <w:color w:val="00B0F0"/>
          <w:sz w:val="48"/>
          <w:szCs w:val="48"/>
        </w:rPr>
      </w:pPr>
    </w:p>
    <w:p w:rsidR="00543D2F" w:rsidRDefault="00543D2F" w:rsidP="00543D2F">
      <w:pPr>
        <w:jc w:val="center"/>
        <w:rPr>
          <w:b/>
          <w:color w:val="00B0F0"/>
          <w:sz w:val="48"/>
          <w:szCs w:val="48"/>
        </w:rPr>
      </w:pPr>
    </w:p>
    <w:p w:rsidR="00543D2F" w:rsidRDefault="00543D2F" w:rsidP="00543D2F">
      <w:pPr>
        <w:jc w:val="center"/>
        <w:rPr>
          <w:b/>
          <w:color w:val="00B0F0"/>
          <w:sz w:val="48"/>
          <w:szCs w:val="48"/>
        </w:rPr>
      </w:pPr>
    </w:p>
    <w:p w:rsidR="00543D2F" w:rsidRDefault="00543D2F" w:rsidP="00543D2F">
      <w:pPr>
        <w:jc w:val="center"/>
        <w:rPr>
          <w:b/>
          <w:color w:val="00B0F0"/>
          <w:sz w:val="48"/>
          <w:szCs w:val="48"/>
        </w:rPr>
      </w:pPr>
    </w:p>
    <w:p w:rsidR="00543D2F" w:rsidRPr="00543D2F" w:rsidRDefault="00543D2F" w:rsidP="00543D2F">
      <w:pPr>
        <w:jc w:val="center"/>
        <w:rPr>
          <w:b/>
          <w:color w:val="00B0F0"/>
          <w:sz w:val="48"/>
          <w:szCs w:val="48"/>
        </w:rPr>
      </w:pPr>
      <w:r w:rsidRPr="00543D2F">
        <w:rPr>
          <w:b/>
          <w:color w:val="00B0F0"/>
          <w:sz w:val="48"/>
          <w:szCs w:val="48"/>
        </w:rPr>
        <w:t xml:space="preserve">Self-Neglect and Hoarding </w:t>
      </w:r>
    </w:p>
    <w:p w:rsidR="00543D2F" w:rsidRPr="00543D2F" w:rsidRDefault="009B1A6D" w:rsidP="00543D2F">
      <w:pPr>
        <w:jc w:val="center"/>
        <w:rPr>
          <w:b/>
          <w:color w:val="00B0F0"/>
          <w:sz w:val="48"/>
          <w:szCs w:val="48"/>
        </w:rPr>
      </w:pPr>
      <w:r>
        <w:rPr>
          <w:b/>
          <w:color w:val="00B0F0"/>
          <w:sz w:val="48"/>
          <w:szCs w:val="48"/>
        </w:rPr>
        <w:t>Protocol</w:t>
      </w:r>
    </w:p>
    <w:p w:rsidR="00543D2F" w:rsidRPr="00543D2F" w:rsidRDefault="00543D2F" w:rsidP="00543D2F">
      <w:pPr>
        <w:jc w:val="center"/>
        <w:rPr>
          <w:b/>
          <w:color w:val="00B0F0"/>
          <w:sz w:val="48"/>
          <w:szCs w:val="48"/>
        </w:rPr>
      </w:pPr>
    </w:p>
    <w:p w:rsidR="00543D2F" w:rsidRPr="00543D2F" w:rsidRDefault="00543D2F" w:rsidP="00543D2F">
      <w:pPr>
        <w:jc w:val="center"/>
        <w:rPr>
          <w:b/>
          <w:color w:val="00B0F0"/>
          <w:sz w:val="48"/>
          <w:szCs w:val="48"/>
        </w:rPr>
      </w:pPr>
      <w:r w:rsidRPr="00543D2F">
        <w:rPr>
          <w:b/>
          <w:color w:val="00B0F0"/>
          <w:sz w:val="48"/>
          <w:szCs w:val="48"/>
        </w:rPr>
        <w:t>March 2021</w:t>
      </w:r>
    </w:p>
    <w:p w:rsidR="00543D2F" w:rsidRDefault="00543D2F" w:rsidP="00543D2F">
      <w:pPr>
        <w:jc w:val="center"/>
        <w:rPr>
          <w:b/>
          <w:color w:val="00B0F0"/>
          <w:sz w:val="48"/>
          <w:szCs w:val="48"/>
        </w:rPr>
      </w:pPr>
    </w:p>
    <w:p w:rsidR="00543D2F" w:rsidRDefault="00543D2F" w:rsidP="00543D2F">
      <w:pPr>
        <w:jc w:val="center"/>
        <w:rPr>
          <w:b/>
          <w:color w:val="00B0F0"/>
          <w:sz w:val="48"/>
          <w:szCs w:val="48"/>
        </w:rPr>
      </w:pPr>
    </w:p>
    <w:p w:rsidR="00543D2F" w:rsidRDefault="00543D2F" w:rsidP="00543D2F">
      <w:pPr>
        <w:jc w:val="center"/>
        <w:rPr>
          <w:b/>
          <w:color w:val="00B0F0"/>
          <w:sz w:val="48"/>
          <w:szCs w:val="48"/>
        </w:rPr>
      </w:pPr>
    </w:p>
    <w:p w:rsidR="00543D2F" w:rsidRDefault="00543D2F" w:rsidP="00543D2F">
      <w:pPr>
        <w:jc w:val="center"/>
        <w:rPr>
          <w:b/>
          <w:color w:val="00B0F0"/>
          <w:sz w:val="48"/>
          <w:szCs w:val="48"/>
        </w:rPr>
      </w:pPr>
    </w:p>
    <w:p w:rsidR="00543D2F" w:rsidRDefault="00543D2F" w:rsidP="00543D2F">
      <w:pPr>
        <w:jc w:val="center"/>
        <w:rPr>
          <w:b/>
          <w:color w:val="00B0F0"/>
          <w:sz w:val="48"/>
          <w:szCs w:val="48"/>
        </w:rPr>
      </w:pPr>
    </w:p>
    <w:p w:rsidR="00543D2F" w:rsidRDefault="00543D2F" w:rsidP="00543D2F">
      <w:pPr>
        <w:jc w:val="center"/>
        <w:rPr>
          <w:b/>
          <w:color w:val="00B0F0"/>
          <w:sz w:val="48"/>
          <w:szCs w:val="48"/>
        </w:rPr>
      </w:pPr>
    </w:p>
    <w:p w:rsidR="00543D2F" w:rsidRDefault="00543D2F" w:rsidP="00543D2F">
      <w:pPr>
        <w:jc w:val="center"/>
        <w:rPr>
          <w:b/>
          <w:color w:val="00B0F0"/>
          <w:sz w:val="48"/>
          <w:szCs w:val="48"/>
        </w:rPr>
      </w:pPr>
    </w:p>
    <w:p w:rsidR="00543D2F" w:rsidRDefault="00543D2F" w:rsidP="00543D2F">
      <w:pPr>
        <w:jc w:val="center"/>
        <w:rPr>
          <w:b/>
          <w:color w:val="00B0F0"/>
          <w:sz w:val="48"/>
          <w:szCs w:val="48"/>
        </w:rPr>
      </w:pPr>
    </w:p>
    <w:p w:rsidR="00543D2F" w:rsidRDefault="00543D2F" w:rsidP="00543D2F">
      <w:pPr>
        <w:jc w:val="center"/>
        <w:rPr>
          <w:b/>
          <w:color w:val="00B0F0"/>
          <w:sz w:val="48"/>
          <w:szCs w:val="48"/>
        </w:rPr>
      </w:pPr>
    </w:p>
    <w:p w:rsidR="00543D2F" w:rsidRDefault="00543D2F" w:rsidP="00543D2F">
      <w:pPr>
        <w:jc w:val="center"/>
        <w:rPr>
          <w:b/>
          <w:color w:val="00B0F0"/>
          <w:sz w:val="48"/>
          <w:szCs w:val="48"/>
        </w:rPr>
      </w:pPr>
    </w:p>
    <w:p w:rsidR="00543D2F" w:rsidRDefault="00543D2F" w:rsidP="00543D2F">
      <w:pPr>
        <w:jc w:val="center"/>
        <w:rPr>
          <w:b/>
          <w:color w:val="00B0F0"/>
          <w:sz w:val="48"/>
          <w:szCs w:val="48"/>
        </w:rPr>
      </w:pPr>
    </w:p>
    <w:p w:rsidR="00543D2F" w:rsidRDefault="00543D2F" w:rsidP="00543D2F">
      <w:pPr>
        <w:jc w:val="center"/>
        <w:rPr>
          <w:b/>
          <w:color w:val="00B0F0"/>
          <w:sz w:val="48"/>
          <w:szCs w:val="48"/>
        </w:rPr>
      </w:pPr>
    </w:p>
    <w:p w:rsidR="00543D2F" w:rsidRDefault="00543D2F" w:rsidP="00543D2F">
      <w:pPr>
        <w:jc w:val="center"/>
        <w:rPr>
          <w:b/>
          <w:color w:val="00B0F0"/>
          <w:sz w:val="48"/>
          <w:szCs w:val="48"/>
        </w:rPr>
      </w:pPr>
    </w:p>
    <w:p w:rsidR="00543D2F" w:rsidRDefault="00543D2F" w:rsidP="00543D2F">
      <w:pPr>
        <w:jc w:val="center"/>
        <w:rPr>
          <w:b/>
          <w:color w:val="00B0F0"/>
          <w:sz w:val="48"/>
          <w:szCs w:val="48"/>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9013"/>
      </w:tblGrid>
      <w:tr w:rsidR="00543D2F" w:rsidRPr="00543D2F" w:rsidTr="00543D2F">
        <w:trPr>
          <w:cantSplit/>
          <w:trHeight w:val="1533"/>
          <w:jc w:val="center"/>
        </w:trPr>
        <w:tc>
          <w:tcPr>
            <w:tcW w:w="1188" w:type="dxa"/>
            <w:textDirection w:val="btLr"/>
          </w:tcPr>
          <w:p w:rsidR="00543D2F" w:rsidRPr="00543D2F" w:rsidRDefault="00543D2F" w:rsidP="00543D2F">
            <w:pPr>
              <w:spacing w:after="160" w:line="259" w:lineRule="auto"/>
              <w:rPr>
                <w:b/>
                <w:color w:val="auto"/>
                <w:sz w:val="22"/>
                <w:szCs w:val="22"/>
              </w:rPr>
            </w:pPr>
          </w:p>
          <w:p w:rsidR="00543D2F" w:rsidRPr="00543D2F" w:rsidRDefault="00543D2F" w:rsidP="00543D2F">
            <w:pPr>
              <w:spacing w:after="160" w:line="259" w:lineRule="auto"/>
              <w:rPr>
                <w:b/>
                <w:color w:val="auto"/>
                <w:sz w:val="22"/>
                <w:szCs w:val="22"/>
              </w:rPr>
            </w:pPr>
            <w:r w:rsidRPr="00543D2F">
              <w:rPr>
                <w:b/>
                <w:color w:val="auto"/>
                <w:sz w:val="22"/>
                <w:szCs w:val="22"/>
              </w:rPr>
              <w:t xml:space="preserve">       TITLE</w:t>
            </w:r>
          </w:p>
        </w:tc>
        <w:tc>
          <w:tcPr>
            <w:tcW w:w="9013" w:type="dxa"/>
          </w:tcPr>
          <w:p w:rsidR="00543D2F" w:rsidRPr="00543D2F" w:rsidRDefault="00543D2F" w:rsidP="00543D2F">
            <w:pPr>
              <w:spacing w:after="160" w:line="259" w:lineRule="auto"/>
              <w:rPr>
                <w:color w:val="auto"/>
                <w:sz w:val="22"/>
                <w:szCs w:val="22"/>
              </w:rPr>
            </w:pPr>
            <w:bookmarkStart w:id="0" w:name="_Toc271713823"/>
          </w:p>
          <w:p w:rsidR="00543D2F" w:rsidRPr="00543D2F" w:rsidRDefault="00543D2F" w:rsidP="00543D2F">
            <w:pPr>
              <w:spacing w:after="160" w:line="259" w:lineRule="auto"/>
              <w:rPr>
                <w:color w:val="auto"/>
                <w:sz w:val="22"/>
                <w:szCs w:val="22"/>
              </w:rPr>
            </w:pPr>
            <w:r w:rsidRPr="00543D2F">
              <w:rPr>
                <w:color w:val="auto"/>
                <w:sz w:val="22"/>
                <w:szCs w:val="22"/>
              </w:rPr>
              <w:t>Title:</w:t>
            </w:r>
            <w:bookmarkEnd w:id="0"/>
            <w:r w:rsidRPr="00543D2F">
              <w:rPr>
                <w:color w:val="auto"/>
                <w:sz w:val="22"/>
                <w:szCs w:val="22"/>
              </w:rPr>
              <w:t xml:space="preserve">                                                        Self Neglect a</w:t>
            </w:r>
            <w:r w:rsidR="009B1A6D">
              <w:rPr>
                <w:color w:val="auto"/>
                <w:sz w:val="22"/>
                <w:szCs w:val="22"/>
              </w:rPr>
              <w:t>nd Hoarding Protocol</w:t>
            </w:r>
          </w:p>
          <w:p w:rsidR="00543D2F" w:rsidRPr="00543D2F" w:rsidRDefault="00543D2F" w:rsidP="00543D2F">
            <w:pPr>
              <w:spacing w:after="160" w:line="259" w:lineRule="auto"/>
              <w:rPr>
                <w:color w:val="auto"/>
                <w:sz w:val="22"/>
                <w:szCs w:val="22"/>
              </w:rPr>
            </w:pPr>
            <w:r w:rsidRPr="00543D2F">
              <w:rPr>
                <w:color w:val="auto"/>
                <w:sz w:val="22"/>
                <w:szCs w:val="22"/>
              </w:rPr>
              <w:t>Version:                                                   1</w:t>
            </w:r>
            <w:r w:rsidR="008E38F4">
              <w:rPr>
                <w:color w:val="auto"/>
                <w:sz w:val="22"/>
                <w:szCs w:val="22"/>
              </w:rPr>
              <w:t>.1</w:t>
            </w:r>
          </w:p>
        </w:tc>
      </w:tr>
      <w:tr w:rsidR="00543D2F" w:rsidRPr="00543D2F" w:rsidTr="00543D2F">
        <w:trPr>
          <w:cantSplit/>
          <w:trHeight w:val="1533"/>
          <w:jc w:val="center"/>
        </w:trPr>
        <w:tc>
          <w:tcPr>
            <w:tcW w:w="1188" w:type="dxa"/>
            <w:textDirection w:val="btLr"/>
          </w:tcPr>
          <w:p w:rsidR="00543D2F" w:rsidRPr="00543D2F" w:rsidRDefault="00543D2F" w:rsidP="00543D2F">
            <w:pPr>
              <w:spacing w:after="160" w:line="259" w:lineRule="auto"/>
              <w:rPr>
                <w:b/>
                <w:color w:val="auto"/>
                <w:sz w:val="22"/>
                <w:szCs w:val="22"/>
              </w:rPr>
            </w:pPr>
          </w:p>
          <w:p w:rsidR="00543D2F" w:rsidRPr="00543D2F" w:rsidRDefault="00543D2F" w:rsidP="00543D2F">
            <w:pPr>
              <w:spacing w:after="160" w:line="259" w:lineRule="auto"/>
              <w:rPr>
                <w:b/>
                <w:color w:val="auto"/>
                <w:sz w:val="22"/>
                <w:szCs w:val="22"/>
              </w:rPr>
            </w:pPr>
            <w:r w:rsidRPr="00543D2F">
              <w:rPr>
                <w:b/>
                <w:color w:val="auto"/>
                <w:sz w:val="22"/>
                <w:szCs w:val="22"/>
              </w:rPr>
              <w:t xml:space="preserve">  AUTHOR</w:t>
            </w:r>
          </w:p>
        </w:tc>
        <w:tc>
          <w:tcPr>
            <w:tcW w:w="9013" w:type="dxa"/>
          </w:tcPr>
          <w:p w:rsidR="00543D2F" w:rsidRPr="00543D2F" w:rsidRDefault="00543D2F" w:rsidP="00543D2F">
            <w:pPr>
              <w:spacing w:after="160" w:line="259" w:lineRule="auto"/>
              <w:rPr>
                <w:color w:val="auto"/>
                <w:sz w:val="22"/>
                <w:szCs w:val="22"/>
              </w:rPr>
            </w:pPr>
          </w:p>
          <w:p w:rsidR="00543D2F" w:rsidRPr="00543D2F" w:rsidRDefault="00543D2F" w:rsidP="00543D2F">
            <w:pPr>
              <w:spacing w:after="160" w:line="259" w:lineRule="auto"/>
              <w:rPr>
                <w:color w:val="auto"/>
                <w:sz w:val="22"/>
                <w:szCs w:val="22"/>
              </w:rPr>
            </w:pPr>
            <w:r w:rsidRPr="00543D2F">
              <w:rPr>
                <w:color w:val="auto"/>
                <w:sz w:val="22"/>
                <w:szCs w:val="22"/>
              </w:rPr>
              <w:t>Jane Timson, Head of Safeguarding and Practice Assurance, Rochdale Adult Care</w:t>
            </w:r>
          </w:p>
          <w:p w:rsidR="00543D2F" w:rsidRPr="00543D2F" w:rsidRDefault="00543D2F" w:rsidP="00543D2F">
            <w:pPr>
              <w:spacing w:after="160" w:line="259" w:lineRule="auto"/>
              <w:rPr>
                <w:i/>
                <w:color w:val="auto"/>
                <w:sz w:val="20"/>
                <w:szCs w:val="20"/>
              </w:rPr>
            </w:pPr>
            <w:r w:rsidRPr="00543D2F">
              <w:rPr>
                <w:i/>
                <w:color w:val="auto"/>
                <w:sz w:val="20"/>
                <w:szCs w:val="20"/>
              </w:rPr>
              <w:t>(with acknowledgement to Manchester Safeguarding Adults Board for additional material)</w:t>
            </w:r>
          </w:p>
        </w:tc>
      </w:tr>
      <w:tr w:rsidR="00543D2F" w:rsidRPr="00543D2F" w:rsidTr="00543D2F">
        <w:trPr>
          <w:cantSplit/>
          <w:trHeight w:val="2683"/>
          <w:jc w:val="center"/>
        </w:trPr>
        <w:tc>
          <w:tcPr>
            <w:tcW w:w="1188" w:type="dxa"/>
            <w:textDirection w:val="btLr"/>
          </w:tcPr>
          <w:p w:rsidR="00543D2F" w:rsidRPr="00543D2F" w:rsidRDefault="00543D2F" w:rsidP="00543D2F">
            <w:pPr>
              <w:spacing w:after="160" w:line="259" w:lineRule="auto"/>
              <w:jc w:val="center"/>
              <w:rPr>
                <w:b/>
                <w:color w:val="auto"/>
                <w:sz w:val="22"/>
                <w:szCs w:val="22"/>
              </w:rPr>
            </w:pPr>
          </w:p>
          <w:p w:rsidR="00543D2F" w:rsidRPr="00543D2F" w:rsidRDefault="00543D2F" w:rsidP="00543D2F">
            <w:pPr>
              <w:spacing w:after="160" w:line="259" w:lineRule="auto"/>
              <w:jc w:val="center"/>
              <w:rPr>
                <w:b/>
                <w:color w:val="auto"/>
                <w:sz w:val="22"/>
                <w:szCs w:val="22"/>
              </w:rPr>
            </w:pPr>
            <w:r w:rsidRPr="00543D2F">
              <w:rPr>
                <w:b/>
                <w:color w:val="auto"/>
                <w:sz w:val="22"/>
                <w:szCs w:val="22"/>
              </w:rPr>
              <w:t>BOARD APROVAL</w:t>
            </w:r>
          </w:p>
        </w:tc>
        <w:tc>
          <w:tcPr>
            <w:tcW w:w="9013" w:type="dxa"/>
          </w:tcPr>
          <w:p w:rsidR="00543D2F" w:rsidRPr="00543D2F" w:rsidRDefault="00543D2F" w:rsidP="00543D2F">
            <w:pPr>
              <w:spacing w:after="160" w:line="259" w:lineRule="auto"/>
              <w:rPr>
                <w:color w:val="auto"/>
                <w:sz w:val="22"/>
                <w:szCs w:val="22"/>
              </w:rPr>
            </w:pPr>
          </w:p>
          <w:p w:rsidR="00543D2F" w:rsidRPr="00543D2F" w:rsidRDefault="00543D2F" w:rsidP="00543D2F">
            <w:pPr>
              <w:spacing w:after="160" w:line="259" w:lineRule="auto"/>
              <w:rPr>
                <w:color w:val="auto"/>
                <w:sz w:val="22"/>
                <w:szCs w:val="22"/>
              </w:rPr>
            </w:pPr>
            <w:r w:rsidRPr="00543D2F">
              <w:rPr>
                <w:color w:val="auto"/>
                <w:sz w:val="22"/>
                <w:szCs w:val="22"/>
              </w:rPr>
              <w:t>Draft:                                                        March 2021</w:t>
            </w:r>
          </w:p>
          <w:p w:rsidR="00543D2F" w:rsidRPr="00543D2F" w:rsidRDefault="00543D2F" w:rsidP="00543D2F">
            <w:pPr>
              <w:spacing w:after="160" w:line="259" w:lineRule="auto"/>
              <w:rPr>
                <w:color w:val="auto"/>
                <w:sz w:val="22"/>
                <w:szCs w:val="22"/>
              </w:rPr>
            </w:pPr>
          </w:p>
          <w:p w:rsidR="00543D2F" w:rsidRPr="00543D2F" w:rsidRDefault="00543D2F" w:rsidP="00543D2F">
            <w:pPr>
              <w:spacing w:after="160" w:line="259" w:lineRule="auto"/>
              <w:rPr>
                <w:color w:val="auto"/>
                <w:sz w:val="22"/>
                <w:szCs w:val="22"/>
              </w:rPr>
            </w:pPr>
          </w:p>
          <w:p w:rsidR="00543D2F" w:rsidRPr="00543D2F" w:rsidRDefault="00543D2F" w:rsidP="00543D2F">
            <w:pPr>
              <w:spacing w:after="160" w:line="259" w:lineRule="auto"/>
              <w:rPr>
                <w:color w:val="auto"/>
                <w:sz w:val="22"/>
                <w:szCs w:val="22"/>
              </w:rPr>
            </w:pPr>
            <w:r w:rsidRPr="00543D2F">
              <w:rPr>
                <w:color w:val="auto"/>
                <w:sz w:val="22"/>
                <w:szCs w:val="22"/>
              </w:rPr>
              <w:t xml:space="preserve">Approved by RBSAB:                              March 2021           </w:t>
            </w:r>
          </w:p>
        </w:tc>
      </w:tr>
      <w:tr w:rsidR="00543D2F" w:rsidRPr="00543D2F" w:rsidTr="00543D2F">
        <w:trPr>
          <w:cantSplit/>
          <w:trHeight w:val="1545"/>
          <w:jc w:val="center"/>
        </w:trPr>
        <w:tc>
          <w:tcPr>
            <w:tcW w:w="1188" w:type="dxa"/>
            <w:textDirection w:val="btLr"/>
          </w:tcPr>
          <w:p w:rsidR="00543D2F" w:rsidRPr="00543D2F" w:rsidRDefault="00543D2F" w:rsidP="00543D2F">
            <w:pPr>
              <w:spacing w:after="160" w:line="259" w:lineRule="auto"/>
              <w:rPr>
                <w:b/>
                <w:color w:val="auto"/>
                <w:sz w:val="22"/>
                <w:szCs w:val="22"/>
              </w:rPr>
            </w:pPr>
          </w:p>
          <w:p w:rsidR="00543D2F" w:rsidRPr="00543D2F" w:rsidRDefault="00543D2F" w:rsidP="00543D2F">
            <w:pPr>
              <w:spacing w:after="160" w:line="259" w:lineRule="auto"/>
              <w:jc w:val="center"/>
              <w:rPr>
                <w:b/>
                <w:color w:val="auto"/>
                <w:sz w:val="22"/>
                <w:szCs w:val="22"/>
              </w:rPr>
            </w:pPr>
            <w:r w:rsidRPr="00543D2F">
              <w:rPr>
                <w:b/>
                <w:color w:val="auto"/>
                <w:sz w:val="22"/>
                <w:szCs w:val="22"/>
              </w:rPr>
              <w:t>REVIEW</w:t>
            </w:r>
          </w:p>
        </w:tc>
        <w:tc>
          <w:tcPr>
            <w:tcW w:w="9013" w:type="dxa"/>
          </w:tcPr>
          <w:p w:rsidR="00543D2F" w:rsidRPr="00543D2F" w:rsidRDefault="00543D2F" w:rsidP="00543D2F">
            <w:pPr>
              <w:spacing w:after="160" w:line="259" w:lineRule="auto"/>
              <w:rPr>
                <w:color w:val="auto"/>
                <w:sz w:val="22"/>
                <w:szCs w:val="22"/>
              </w:rPr>
            </w:pPr>
          </w:p>
          <w:p w:rsidR="00543D2F" w:rsidRPr="00543D2F" w:rsidRDefault="00543D2F" w:rsidP="00543D2F">
            <w:pPr>
              <w:spacing w:after="160" w:line="259" w:lineRule="auto"/>
              <w:rPr>
                <w:color w:val="auto"/>
                <w:sz w:val="22"/>
                <w:szCs w:val="22"/>
              </w:rPr>
            </w:pPr>
          </w:p>
          <w:p w:rsidR="00543D2F" w:rsidRPr="00543D2F" w:rsidRDefault="00543D2F" w:rsidP="00543D2F">
            <w:pPr>
              <w:spacing w:after="160" w:line="259" w:lineRule="auto"/>
              <w:rPr>
                <w:color w:val="auto"/>
                <w:sz w:val="22"/>
                <w:szCs w:val="22"/>
              </w:rPr>
            </w:pPr>
            <w:r w:rsidRPr="00543D2F">
              <w:rPr>
                <w:color w:val="auto"/>
                <w:sz w:val="22"/>
                <w:szCs w:val="22"/>
              </w:rPr>
              <w:t>Review date:                                            No changes until next reviewed in March 2023</w:t>
            </w:r>
          </w:p>
          <w:p w:rsidR="00543D2F" w:rsidRPr="00543D2F" w:rsidRDefault="00543D2F" w:rsidP="00543D2F">
            <w:pPr>
              <w:spacing w:after="160" w:line="259" w:lineRule="auto"/>
              <w:rPr>
                <w:color w:val="auto"/>
                <w:sz w:val="22"/>
                <w:szCs w:val="22"/>
              </w:rPr>
            </w:pPr>
          </w:p>
          <w:p w:rsidR="00543D2F" w:rsidRPr="00543D2F" w:rsidRDefault="00543D2F" w:rsidP="00543D2F">
            <w:pPr>
              <w:spacing w:after="160" w:line="259" w:lineRule="auto"/>
              <w:rPr>
                <w:color w:val="auto"/>
                <w:sz w:val="22"/>
                <w:szCs w:val="22"/>
              </w:rPr>
            </w:pPr>
          </w:p>
        </w:tc>
      </w:tr>
    </w:tbl>
    <w:p w:rsidR="00543D2F" w:rsidRDefault="00543D2F" w:rsidP="00543D2F">
      <w:pPr>
        <w:jc w:val="center"/>
        <w:rPr>
          <w:b/>
          <w:color w:val="00B0F0"/>
          <w:sz w:val="48"/>
          <w:szCs w:val="48"/>
        </w:rPr>
      </w:pPr>
    </w:p>
    <w:p w:rsidR="00543D2F" w:rsidRDefault="00543D2F" w:rsidP="00543D2F">
      <w:pPr>
        <w:jc w:val="center"/>
        <w:rPr>
          <w:b/>
          <w:color w:val="00B0F0"/>
          <w:sz w:val="48"/>
          <w:szCs w:val="48"/>
        </w:rPr>
      </w:pPr>
    </w:p>
    <w:p w:rsidR="00543D2F" w:rsidRDefault="00543D2F" w:rsidP="00543D2F">
      <w:pPr>
        <w:jc w:val="center"/>
        <w:rPr>
          <w:b/>
          <w:color w:val="00B0F0"/>
          <w:sz w:val="48"/>
          <w:szCs w:val="48"/>
        </w:rPr>
      </w:pPr>
    </w:p>
    <w:p w:rsidR="00543D2F" w:rsidRDefault="00543D2F" w:rsidP="00543D2F">
      <w:pPr>
        <w:jc w:val="center"/>
        <w:rPr>
          <w:b/>
          <w:color w:val="00B0F0"/>
          <w:sz w:val="48"/>
          <w:szCs w:val="48"/>
        </w:rPr>
      </w:pPr>
    </w:p>
    <w:p w:rsidR="00543D2F" w:rsidRPr="00543D2F" w:rsidRDefault="00543D2F" w:rsidP="00543D2F">
      <w:pPr>
        <w:jc w:val="center"/>
        <w:rPr>
          <w:b/>
          <w:color w:val="00B0F0"/>
          <w:sz w:val="48"/>
          <w:szCs w:val="48"/>
        </w:rPr>
      </w:pPr>
    </w:p>
    <w:p w:rsidR="00543D2F" w:rsidRPr="00543D2F" w:rsidRDefault="00543D2F" w:rsidP="00543D2F">
      <w:pPr>
        <w:rPr>
          <w:b/>
          <w:color w:val="00B0F0"/>
          <w:sz w:val="32"/>
          <w:szCs w:val="32"/>
        </w:rPr>
      </w:pPr>
    </w:p>
    <w:p w:rsidR="00543D2F" w:rsidRPr="00543D2F" w:rsidRDefault="00543D2F" w:rsidP="00543D2F">
      <w:pPr>
        <w:rPr>
          <w:b/>
          <w:color w:val="00B0F0"/>
          <w:sz w:val="32"/>
          <w:szCs w:val="32"/>
        </w:rPr>
      </w:pPr>
      <w:r w:rsidRPr="00543D2F">
        <w:rPr>
          <w:b/>
          <w:color w:val="00B0F0"/>
          <w:sz w:val="32"/>
          <w:szCs w:val="32"/>
        </w:rPr>
        <w:t>Introduction</w:t>
      </w:r>
    </w:p>
    <w:p w:rsidR="00543D2F" w:rsidRPr="00543D2F" w:rsidRDefault="00543D2F" w:rsidP="00543D2F">
      <w:pPr>
        <w:rPr>
          <w:color w:val="auto"/>
          <w:sz w:val="16"/>
          <w:szCs w:val="16"/>
        </w:rPr>
      </w:pPr>
    </w:p>
    <w:p w:rsidR="00543D2F" w:rsidRPr="00543D2F" w:rsidRDefault="009B1A6D" w:rsidP="00543D2F">
      <w:pPr>
        <w:rPr>
          <w:color w:val="auto"/>
        </w:rPr>
      </w:pPr>
      <w:r>
        <w:rPr>
          <w:color w:val="auto"/>
        </w:rPr>
        <w:t>This Protocol</w:t>
      </w:r>
      <w:r w:rsidR="00543D2F" w:rsidRPr="00543D2F">
        <w:rPr>
          <w:color w:val="auto"/>
        </w:rPr>
        <w:t xml:space="preserve"> will be referred to where an adult is believed to be self-neglecting. </w:t>
      </w:r>
    </w:p>
    <w:p w:rsidR="00543D2F" w:rsidRPr="00543D2F" w:rsidRDefault="00543D2F" w:rsidP="00543D2F">
      <w:pPr>
        <w:rPr>
          <w:color w:val="auto"/>
        </w:rPr>
      </w:pPr>
    </w:p>
    <w:p w:rsidR="00543D2F" w:rsidRPr="00543D2F" w:rsidRDefault="00543D2F" w:rsidP="00543D2F">
      <w:pPr>
        <w:rPr>
          <w:color w:val="auto"/>
        </w:rPr>
      </w:pPr>
      <w:r w:rsidRPr="00543D2F">
        <w:rPr>
          <w:color w:val="auto"/>
        </w:rPr>
        <w:t>The sc</w:t>
      </w:r>
      <w:r w:rsidR="009B1A6D">
        <w:rPr>
          <w:color w:val="auto"/>
        </w:rPr>
        <w:t>ope of this Protocol</w:t>
      </w:r>
      <w:r w:rsidRPr="00543D2F">
        <w:rPr>
          <w:color w:val="auto"/>
        </w:rPr>
        <w:t xml:space="preserve"> does not include cases of risk associated with </w:t>
      </w:r>
      <w:r w:rsidRPr="00543D2F">
        <w:rPr>
          <w:b/>
          <w:color w:val="auto"/>
        </w:rPr>
        <w:t>deliberate self-harm;</w:t>
      </w:r>
      <w:r w:rsidRPr="00543D2F">
        <w:rPr>
          <w:color w:val="auto"/>
        </w:rPr>
        <w:t xml:space="preserve"> the intentional infliction of physical damage or injury by an individual to their own body.  Anyone who self-harms should be advised to see their GP or other relevant health professional as a matter of urgency or referred with their approval.</w:t>
      </w:r>
    </w:p>
    <w:p w:rsidR="00543D2F" w:rsidRPr="00543D2F" w:rsidRDefault="00543D2F" w:rsidP="00543D2F">
      <w:pPr>
        <w:rPr>
          <w:b/>
          <w:color w:val="00B0F0"/>
          <w:sz w:val="32"/>
          <w:szCs w:val="32"/>
        </w:rPr>
      </w:pPr>
    </w:p>
    <w:p w:rsidR="00543D2F" w:rsidRPr="00543D2F" w:rsidRDefault="00543D2F" w:rsidP="00543D2F">
      <w:pPr>
        <w:rPr>
          <w:b/>
          <w:color w:val="00B0F0"/>
          <w:sz w:val="32"/>
          <w:szCs w:val="32"/>
        </w:rPr>
      </w:pPr>
      <w:r w:rsidRPr="00543D2F">
        <w:rPr>
          <w:b/>
          <w:color w:val="00B0F0"/>
          <w:sz w:val="32"/>
          <w:szCs w:val="32"/>
        </w:rPr>
        <w:t>What is self-neglect?</w:t>
      </w:r>
    </w:p>
    <w:p w:rsidR="00543D2F" w:rsidRPr="00543D2F" w:rsidRDefault="00543D2F" w:rsidP="00543D2F">
      <w:pPr>
        <w:rPr>
          <w:color w:val="auto"/>
        </w:rPr>
      </w:pPr>
    </w:p>
    <w:p w:rsidR="00543D2F" w:rsidRPr="00543D2F" w:rsidRDefault="00543D2F" w:rsidP="00543D2F">
      <w:pPr>
        <w:rPr>
          <w:color w:val="auto"/>
        </w:rPr>
      </w:pPr>
      <w:r w:rsidRPr="00543D2F">
        <w:rPr>
          <w:color w:val="auto"/>
        </w:rPr>
        <w:t>The definition of self-neglect from the Care Act 2014 is as follows:</w:t>
      </w:r>
    </w:p>
    <w:p w:rsidR="00543D2F" w:rsidRPr="00543D2F" w:rsidRDefault="00543D2F" w:rsidP="00543D2F">
      <w:pPr>
        <w:ind w:left="720"/>
        <w:rPr>
          <w:i/>
          <w:color w:val="auto"/>
        </w:rPr>
      </w:pPr>
      <w:r w:rsidRPr="00543D2F">
        <w:rPr>
          <w:i/>
          <w:color w:val="auto"/>
        </w:rPr>
        <w:t>‘self-neglect - this covers a wide range of behaviour neglecting to care for one’s own personal hygiene, health or surroundings and includes behaviour such as hoarding’</w:t>
      </w:r>
    </w:p>
    <w:p w:rsidR="00543D2F" w:rsidRPr="00543D2F" w:rsidRDefault="00543D2F" w:rsidP="00543D2F">
      <w:pPr>
        <w:rPr>
          <w:color w:val="auto"/>
        </w:rPr>
      </w:pPr>
    </w:p>
    <w:p w:rsidR="00543D2F" w:rsidRPr="00543D2F" w:rsidRDefault="00543D2F" w:rsidP="00543D2F">
      <w:pPr>
        <w:rPr>
          <w:color w:val="auto"/>
        </w:rPr>
      </w:pPr>
      <w:r w:rsidRPr="00543D2F">
        <w:rPr>
          <w:color w:val="auto"/>
        </w:rPr>
        <w:t>Indicators of self-neglect:</w:t>
      </w:r>
    </w:p>
    <w:p w:rsidR="00543D2F" w:rsidRPr="00543D2F" w:rsidRDefault="00543D2F" w:rsidP="00543D2F">
      <w:pPr>
        <w:widowControl w:val="0"/>
        <w:numPr>
          <w:ilvl w:val="0"/>
          <w:numId w:val="3"/>
        </w:numPr>
        <w:spacing w:after="120" w:line="259" w:lineRule="auto"/>
        <w:ind w:left="714" w:hanging="357"/>
        <w:rPr>
          <w:color w:val="auto"/>
          <w:lang w:val="en-US"/>
        </w:rPr>
      </w:pPr>
      <w:r w:rsidRPr="00543D2F">
        <w:rPr>
          <w:color w:val="auto"/>
          <w:lang w:val="en-US"/>
        </w:rPr>
        <w:t>Neglecting personal hygiene impacting upon health</w:t>
      </w:r>
    </w:p>
    <w:p w:rsidR="00543D2F" w:rsidRPr="00543D2F" w:rsidRDefault="00543D2F" w:rsidP="00543D2F">
      <w:pPr>
        <w:widowControl w:val="0"/>
        <w:numPr>
          <w:ilvl w:val="0"/>
          <w:numId w:val="3"/>
        </w:numPr>
        <w:spacing w:after="120" w:line="259" w:lineRule="auto"/>
        <w:ind w:left="714" w:hanging="357"/>
        <w:rPr>
          <w:color w:val="auto"/>
          <w:lang w:val="en-US"/>
        </w:rPr>
      </w:pPr>
      <w:r w:rsidRPr="00543D2F">
        <w:rPr>
          <w:color w:val="auto"/>
          <w:lang w:val="en-US"/>
        </w:rPr>
        <w:t>Neglecting home environment, with an impact on health, well-being and public health issues</w:t>
      </w:r>
    </w:p>
    <w:p w:rsidR="00543D2F" w:rsidRPr="00543D2F" w:rsidRDefault="00543D2F" w:rsidP="00543D2F">
      <w:pPr>
        <w:widowControl w:val="0"/>
        <w:numPr>
          <w:ilvl w:val="0"/>
          <w:numId w:val="3"/>
        </w:numPr>
        <w:spacing w:after="120" w:line="259" w:lineRule="auto"/>
        <w:ind w:left="714" w:hanging="357"/>
        <w:rPr>
          <w:color w:val="auto"/>
          <w:lang w:val="en-US"/>
        </w:rPr>
      </w:pPr>
      <w:r w:rsidRPr="00543D2F">
        <w:rPr>
          <w:color w:val="auto"/>
          <w:lang w:val="en-US"/>
        </w:rPr>
        <w:t>Poor diet and nutrition leading to severe weight loss</w:t>
      </w:r>
      <w:r w:rsidR="00864477">
        <w:rPr>
          <w:color w:val="auto"/>
          <w:lang w:val="en-US"/>
        </w:rPr>
        <w:t xml:space="preserve">, or excessive weight gain, </w:t>
      </w:r>
      <w:r w:rsidRPr="00543D2F">
        <w:rPr>
          <w:color w:val="auto"/>
          <w:lang w:val="en-US"/>
        </w:rPr>
        <w:t xml:space="preserve"> and associated health issues</w:t>
      </w:r>
    </w:p>
    <w:p w:rsidR="00543D2F" w:rsidRPr="00543D2F" w:rsidRDefault="00543D2F" w:rsidP="00543D2F">
      <w:pPr>
        <w:widowControl w:val="0"/>
        <w:numPr>
          <w:ilvl w:val="0"/>
          <w:numId w:val="3"/>
        </w:numPr>
        <w:spacing w:after="120" w:line="259" w:lineRule="auto"/>
        <w:ind w:left="714" w:hanging="357"/>
        <w:rPr>
          <w:color w:val="auto"/>
          <w:lang w:val="en-US"/>
        </w:rPr>
      </w:pPr>
      <w:r w:rsidRPr="00543D2F">
        <w:rPr>
          <w:color w:val="auto"/>
          <w:lang w:val="en-US"/>
        </w:rPr>
        <w:t>Lack of engagement with health and other services/agencies who can offer appropriate support</w:t>
      </w:r>
    </w:p>
    <w:p w:rsidR="00543D2F" w:rsidRPr="00543D2F" w:rsidRDefault="00543D2F" w:rsidP="00543D2F">
      <w:pPr>
        <w:widowControl w:val="0"/>
        <w:numPr>
          <w:ilvl w:val="0"/>
          <w:numId w:val="3"/>
        </w:numPr>
        <w:spacing w:after="120" w:line="259" w:lineRule="auto"/>
        <w:ind w:left="714" w:hanging="357"/>
        <w:rPr>
          <w:color w:val="auto"/>
          <w:lang w:val="en-US"/>
        </w:rPr>
      </w:pPr>
      <w:r w:rsidRPr="00543D2F">
        <w:rPr>
          <w:color w:val="auto"/>
          <w:lang w:val="en-US"/>
        </w:rPr>
        <w:t>Hoarding items</w:t>
      </w:r>
    </w:p>
    <w:p w:rsidR="00543D2F" w:rsidRPr="00543D2F" w:rsidRDefault="00543D2F" w:rsidP="00543D2F">
      <w:pPr>
        <w:widowControl w:val="0"/>
        <w:numPr>
          <w:ilvl w:val="0"/>
          <w:numId w:val="3"/>
        </w:numPr>
        <w:spacing w:after="120" w:line="259" w:lineRule="auto"/>
        <w:ind w:left="714" w:hanging="357"/>
        <w:rPr>
          <w:color w:val="auto"/>
          <w:lang w:val="en-US"/>
        </w:rPr>
      </w:pPr>
      <w:r w:rsidRPr="00543D2F">
        <w:rPr>
          <w:color w:val="auto"/>
          <w:lang w:val="en-US"/>
        </w:rPr>
        <w:t>Substance misuse</w:t>
      </w:r>
    </w:p>
    <w:p w:rsidR="00543D2F" w:rsidRPr="00543D2F" w:rsidRDefault="00543D2F" w:rsidP="00543D2F">
      <w:pPr>
        <w:rPr>
          <w:color w:val="auto"/>
        </w:rPr>
      </w:pPr>
      <w:r w:rsidRPr="00543D2F">
        <w:rPr>
          <w:color w:val="auto"/>
        </w:rPr>
        <w:t>A failure to engage with individuals who are not looking after themselves (whether they have mental capacity or not) may have serious implications for, and a profoundly detrimental effect on, an individual’s health and wellbeing. It can also impact on the individual’s family and the local community.</w:t>
      </w:r>
    </w:p>
    <w:p w:rsidR="00543D2F" w:rsidRPr="00543D2F" w:rsidRDefault="00543D2F" w:rsidP="00543D2F">
      <w:pPr>
        <w:widowControl w:val="0"/>
        <w:jc w:val="both"/>
        <w:rPr>
          <w:color w:val="auto"/>
          <w:lang w:val="en-US"/>
        </w:rPr>
      </w:pPr>
    </w:p>
    <w:p w:rsidR="00543D2F" w:rsidRPr="00543D2F" w:rsidRDefault="00543D2F" w:rsidP="00543D2F">
      <w:pPr>
        <w:widowControl w:val="0"/>
        <w:jc w:val="both"/>
        <w:rPr>
          <w:color w:val="auto"/>
          <w:lang w:val="en-US"/>
        </w:rPr>
      </w:pPr>
      <w:r w:rsidRPr="00543D2F">
        <w:rPr>
          <w:color w:val="auto"/>
          <w:lang w:val="en-US"/>
        </w:rPr>
        <w:t>Locally there has been learning from a multi-agency adult review where a woman with complex needs, Adult A, was living in self-neglectful conditions. The learning was that professionals needed to better understand the factors that led to the root cause of the issue.</w:t>
      </w:r>
    </w:p>
    <w:p w:rsidR="00543D2F" w:rsidRPr="00543D2F" w:rsidRDefault="00543D2F" w:rsidP="00543D2F">
      <w:pPr>
        <w:rPr>
          <w:color w:val="auto"/>
        </w:rPr>
      </w:pPr>
    </w:p>
    <w:p w:rsidR="00543D2F" w:rsidRPr="00543D2F" w:rsidRDefault="00543D2F" w:rsidP="00543D2F">
      <w:pPr>
        <w:rPr>
          <w:color w:val="auto"/>
        </w:rPr>
      </w:pPr>
      <w:r w:rsidRPr="00543D2F">
        <w:rPr>
          <w:color w:val="auto"/>
        </w:rPr>
        <w:lastRenderedPageBreak/>
        <w:t xml:space="preserve">A Safeguarding Adult Review for Adult B recognised that, although single agencies worked well with Adult B, a lack of information sharing and joined up action planning meant that not all agencies had access to information that could have improved the quality of involvement with Adult B.   </w:t>
      </w:r>
    </w:p>
    <w:p w:rsidR="00543D2F" w:rsidRPr="00543D2F" w:rsidRDefault="00543D2F" w:rsidP="00543D2F">
      <w:pPr>
        <w:rPr>
          <w:color w:val="auto"/>
        </w:rPr>
      </w:pPr>
    </w:p>
    <w:p w:rsidR="00543D2F" w:rsidRPr="00543D2F" w:rsidRDefault="00543D2F" w:rsidP="00543D2F">
      <w:pPr>
        <w:rPr>
          <w:color w:val="auto"/>
        </w:rPr>
      </w:pPr>
      <w:r w:rsidRPr="00543D2F">
        <w:rPr>
          <w:color w:val="auto"/>
        </w:rPr>
        <w:t>Public authorities, as defined in the Human Rights Act 1998, must act in accordance with the requirements of public law. In relation to adults perceived to be at risk because of self-neglect, public law does not impose specific obligations on public bodies to take particular action. Instead, authorities are expected to act within the powers granted to them. They must act fairly, proportionately, rationally and in line with the principles of the Care Act 2014, the Mental Capacity Act (2005) and consideration should be given to the application of the Mental Health Act (1983).</w:t>
      </w:r>
    </w:p>
    <w:p w:rsidR="00543D2F" w:rsidRPr="00543D2F" w:rsidRDefault="00543D2F" w:rsidP="00543D2F">
      <w:pPr>
        <w:rPr>
          <w:color w:val="auto"/>
        </w:rPr>
      </w:pPr>
    </w:p>
    <w:p w:rsidR="00543D2F" w:rsidRPr="00543D2F" w:rsidRDefault="009B1A6D" w:rsidP="00543D2F">
      <w:pPr>
        <w:rPr>
          <w:b/>
          <w:color w:val="00B0F0"/>
          <w:sz w:val="32"/>
          <w:szCs w:val="32"/>
        </w:rPr>
      </w:pPr>
      <w:r>
        <w:rPr>
          <w:b/>
          <w:color w:val="00B0F0"/>
          <w:sz w:val="32"/>
          <w:szCs w:val="32"/>
        </w:rPr>
        <w:t>Aim of the Protocol</w:t>
      </w:r>
    </w:p>
    <w:p w:rsidR="00543D2F" w:rsidRPr="00543D2F" w:rsidRDefault="00543D2F" w:rsidP="00543D2F">
      <w:pPr>
        <w:rPr>
          <w:color w:val="auto"/>
        </w:rPr>
      </w:pPr>
      <w:r w:rsidRPr="00543D2F">
        <w:rPr>
          <w:color w:val="auto"/>
        </w:rPr>
        <w:t>The</w:t>
      </w:r>
      <w:r w:rsidR="009B1A6D">
        <w:rPr>
          <w:color w:val="auto"/>
        </w:rPr>
        <w:t xml:space="preserve"> Aim of the Protocol</w:t>
      </w:r>
      <w:bookmarkStart w:id="1" w:name="_GoBack"/>
      <w:bookmarkEnd w:id="1"/>
      <w:r w:rsidRPr="00543D2F">
        <w:rPr>
          <w:color w:val="auto"/>
        </w:rPr>
        <w:t xml:space="preserve"> is to prevent serious injury or even death of individuals who appear to be self-neglecting by ensuring that:</w:t>
      </w:r>
    </w:p>
    <w:p w:rsidR="00543D2F" w:rsidRPr="00543D2F" w:rsidRDefault="00543D2F" w:rsidP="00543D2F">
      <w:pPr>
        <w:widowControl w:val="0"/>
        <w:numPr>
          <w:ilvl w:val="0"/>
          <w:numId w:val="1"/>
        </w:numPr>
        <w:spacing w:after="120" w:line="259" w:lineRule="auto"/>
        <w:ind w:left="714" w:hanging="357"/>
        <w:rPr>
          <w:color w:val="auto"/>
          <w:lang w:val="en-US"/>
        </w:rPr>
      </w:pPr>
      <w:r w:rsidRPr="00543D2F">
        <w:rPr>
          <w:color w:val="auto"/>
          <w:lang w:val="en-US"/>
        </w:rPr>
        <w:t>individuals are empowered as far as possible, to understand the implications of their actions</w:t>
      </w:r>
    </w:p>
    <w:p w:rsidR="00543D2F" w:rsidRPr="00543D2F" w:rsidRDefault="00543D2F" w:rsidP="00543D2F">
      <w:pPr>
        <w:widowControl w:val="0"/>
        <w:numPr>
          <w:ilvl w:val="0"/>
          <w:numId w:val="1"/>
        </w:numPr>
        <w:spacing w:after="120" w:line="259" w:lineRule="auto"/>
        <w:ind w:left="714" w:hanging="357"/>
        <w:rPr>
          <w:color w:val="auto"/>
          <w:lang w:val="en-US"/>
        </w:rPr>
      </w:pPr>
      <w:r w:rsidRPr="00543D2F">
        <w:rPr>
          <w:color w:val="auto"/>
          <w:lang w:val="en-US"/>
        </w:rPr>
        <w:t>there is a shared, multi-agency understanding and recognition of the issues involved in working with individuals who self-neglect</w:t>
      </w:r>
    </w:p>
    <w:p w:rsidR="00543D2F" w:rsidRPr="00543D2F" w:rsidRDefault="00543D2F" w:rsidP="00543D2F">
      <w:pPr>
        <w:widowControl w:val="0"/>
        <w:numPr>
          <w:ilvl w:val="0"/>
          <w:numId w:val="1"/>
        </w:numPr>
        <w:spacing w:after="120" w:line="259" w:lineRule="auto"/>
        <w:ind w:left="714" w:hanging="357"/>
        <w:rPr>
          <w:color w:val="auto"/>
          <w:lang w:val="en-US"/>
        </w:rPr>
      </w:pPr>
      <w:r w:rsidRPr="00543D2F">
        <w:rPr>
          <w:color w:val="auto"/>
          <w:lang w:val="en-US"/>
        </w:rPr>
        <w:t>there is effective multi-agency working and practice</w:t>
      </w:r>
    </w:p>
    <w:p w:rsidR="00543D2F" w:rsidRPr="00543D2F" w:rsidRDefault="00543D2F" w:rsidP="00543D2F">
      <w:pPr>
        <w:widowControl w:val="0"/>
        <w:numPr>
          <w:ilvl w:val="0"/>
          <w:numId w:val="1"/>
        </w:numPr>
        <w:spacing w:after="120" w:line="259" w:lineRule="auto"/>
        <w:ind w:left="714" w:hanging="357"/>
        <w:rPr>
          <w:color w:val="auto"/>
          <w:lang w:val="en-US"/>
        </w:rPr>
      </w:pPr>
      <w:r w:rsidRPr="00543D2F">
        <w:rPr>
          <w:color w:val="auto"/>
          <w:lang w:val="en-US"/>
        </w:rPr>
        <w:t>concerns receive appropriate prioritisation</w:t>
      </w:r>
    </w:p>
    <w:p w:rsidR="00543D2F" w:rsidRPr="00543D2F" w:rsidRDefault="00543D2F" w:rsidP="00543D2F">
      <w:pPr>
        <w:widowControl w:val="0"/>
        <w:numPr>
          <w:ilvl w:val="0"/>
          <w:numId w:val="1"/>
        </w:numPr>
        <w:spacing w:after="120" w:line="259" w:lineRule="auto"/>
        <w:ind w:left="714" w:hanging="357"/>
        <w:rPr>
          <w:color w:val="auto"/>
          <w:lang w:val="en-US"/>
        </w:rPr>
      </w:pPr>
      <w:r w:rsidRPr="00543D2F">
        <w:rPr>
          <w:color w:val="auto"/>
          <w:lang w:val="en-US"/>
        </w:rPr>
        <w:t xml:space="preserve">agencies and organisations uphold their duties of care </w:t>
      </w:r>
    </w:p>
    <w:p w:rsidR="00543D2F" w:rsidRPr="00543D2F" w:rsidRDefault="00543D2F" w:rsidP="00543D2F">
      <w:pPr>
        <w:widowControl w:val="0"/>
        <w:numPr>
          <w:ilvl w:val="0"/>
          <w:numId w:val="1"/>
        </w:numPr>
        <w:spacing w:after="120" w:line="259" w:lineRule="auto"/>
        <w:ind w:left="714" w:hanging="357"/>
        <w:rPr>
          <w:color w:val="auto"/>
          <w:lang w:val="en-US"/>
        </w:rPr>
      </w:pPr>
      <w:r w:rsidRPr="00543D2F">
        <w:rPr>
          <w:color w:val="auto"/>
          <w:lang w:val="en-US"/>
        </w:rPr>
        <w:t>there is a proportionate appropriate response to the level of risk to self and others.</w:t>
      </w:r>
    </w:p>
    <w:p w:rsidR="00543D2F" w:rsidRPr="00543D2F" w:rsidRDefault="00543D2F" w:rsidP="00543D2F">
      <w:pPr>
        <w:rPr>
          <w:color w:val="auto"/>
        </w:rPr>
      </w:pPr>
    </w:p>
    <w:p w:rsidR="00543D2F" w:rsidRPr="00543D2F" w:rsidRDefault="00543D2F" w:rsidP="00543D2F">
      <w:pPr>
        <w:rPr>
          <w:color w:val="auto"/>
        </w:rPr>
      </w:pPr>
      <w:r w:rsidRPr="00543D2F">
        <w:rPr>
          <w:color w:val="auto"/>
        </w:rPr>
        <w:t>This is achieved through:</w:t>
      </w:r>
    </w:p>
    <w:p w:rsidR="00543D2F" w:rsidRPr="00543D2F" w:rsidRDefault="00543D2F" w:rsidP="00543D2F">
      <w:pPr>
        <w:widowControl w:val="0"/>
        <w:numPr>
          <w:ilvl w:val="0"/>
          <w:numId w:val="2"/>
        </w:numPr>
        <w:spacing w:after="120" w:line="259" w:lineRule="auto"/>
        <w:rPr>
          <w:color w:val="auto"/>
          <w:lang w:val="en-US"/>
        </w:rPr>
      </w:pPr>
      <w:r w:rsidRPr="00543D2F">
        <w:rPr>
          <w:color w:val="auto"/>
          <w:lang w:val="en-US"/>
        </w:rPr>
        <w:t>promoting a person-centred approach which supports the right of the individual to</w:t>
      </w:r>
      <w:r w:rsidRPr="00543D2F">
        <w:rPr>
          <w:rFonts w:asciiTheme="minorHAnsi" w:hAnsiTheme="minorHAnsi" w:cstheme="minorBidi"/>
          <w:color w:val="auto"/>
          <w:lang w:val="en-US"/>
        </w:rPr>
        <w:t xml:space="preserve"> </w:t>
      </w:r>
      <w:r w:rsidRPr="00543D2F">
        <w:rPr>
          <w:color w:val="auto"/>
          <w:lang w:val="en-US"/>
        </w:rPr>
        <w:t>be treated with respect and dignity</w:t>
      </w:r>
    </w:p>
    <w:p w:rsidR="00543D2F" w:rsidRPr="00543D2F" w:rsidRDefault="00543D2F" w:rsidP="00543D2F">
      <w:pPr>
        <w:widowControl w:val="0"/>
        <w:numPr>
          <w:ilvl w:val="0"/>
          <w:numId w:val="2"/>
        </w:numPr>
        <w:spacing w:after="120" w:line="259" w:lineRule="auto"/>
        <w:rPr>
          <w:color w:val="auto"/>
          <w:lang w:val="en-US"/>
        </w:rPr>
      </w:pPr>
      <w:r w:rsidRPr="00543D2F">
        <w:rPr>
          <w:color w:val="auto"/>
          <w:lang w:val="en-US"/>
        </w:rPr>
        <w:t>promoting a person-centred approach which supports the individual to be in</w:t>
      </w:r>
    </w:p>
    <w:p w:rsidR="00543D2F" w:rsidRPr="00543D2F" w:rsidRDefault="00543D2F" w:rsidP="00543D2F">
      <w:pPr>
        <w:widowControl w:val="0"/>
        <w:spacing w:after="120"/>
        <w:ind w:left="720"/>
        <w:rPr>
          <w:color w:val="auto"/>
          <w:lang w:val="en-US"/>
        </w:rPr>
      </w:pPr>
      <w:r w:rsidRPr="00543D2F">
        <w:rPr>
          <w:color w:val="auto"/>
          <w:lang w:val="en-US"/>
        </w:rPr>
        <w:t>control of, and as far as possible, to lead an independent life</w:t>
      </w:r>
    </w:p>
    <w:p w:rsidR="00543D2F" w:rsidRPr="00543D2F" w:rsidRDefault="00543D2F" w:rsidP="00543D2F">
      <w:pPr>
        <w:widowControl w:val="0"/>
        <w:numPr>
          <w:ilvl w:val="0"/>
          <w:numId w:val="2"/>
        </w:numPr>
        <w:spacing w:after="120" w:line="259" w:lineRule="auto"/>
        <w:rPr>
          <w:color w:val="auto"/>
          <w:lang w:val="en-US"/>
        </w:rPr>
      </w:pPr>
      <w:r w:rsidRPr="00543D2F">
        <w:rPr>
          <w:color w:val="auto"/>
          <w:lang w:val="en-US"/>
        </w:rPr>
        <w:t>aiding recognition of situations of self-neglect</w:t>
      </w:r>
    </w:p>
    <w:p w:rsidR="00543D2F" w:rsidRPr="00543D2F" w:rsidRDefault="00543D2F" w:rsidP="00543D2F">
      <w:pPr>
        <w:widowControl w:val="0"/>
        <w:numPr>
          <w:ilvl w:val="0"/>
          <w:numId w:val="2"/>
        </w:numPr>
        <w:spacing w:after="120" w:line="259" w:lineRule="auto"/>
        <w:rPr>
          <w:color w:val="auto"/>
          <w:lang w:val="en-US"/>
        </w:rPr>
      </w:pPr>
      <w:r w:rsidRPr="00543D2F">
        <w:rPr>
          <w:color w:val="auto"/>
          <w:lang w:val="en-US"/>
        </w:rPr>
        <w:t>increasing knowledge and awareness of the different powers and duties provided by legislation and their relevance to the particular situation and individuals’ needs</w:t>
      </w:r>
    </w:p>
    <w:p w:rsidR="00543D2F" w:rsidRPr="00543D2F" w:rsidRDefault="00543D2F" w:rsidP="00543D2F">
      <w:pPr>
        <w:widowControl w:val="0"/>
        <w:numPr>
          <w:ilvl w:val="0"/>
          <w:numId w:val="2"/>
        </w:numPr>
        <w:spacing w:after="120" w:line="259" w:lineRule="auto"/>
        <w:rPr>
          <w:color w:val="auto"/>
          <w:lang w:val="en-US"/>
        </w:rPr>
      </w:pPr>
      <w:r w:rsidRPr="00543D2F">
        <w:rPr>
          <w:color w:val="auto"/>
          <w:lang w:val="en-US"/>
        </w:rPr>
        <w:t>increasing knowledge and awareness of the extent and limitations of the ‘duty of care’ of professionals</w:t>
      </w:r>
    </w:p>
    <w:p w:rsidR="00543D2F" w:rsidRPr="00543D2F" w:rsidRDefault="00543D2F" w:rsidP="00543D2F">
      <w:pPr>
        <w:widowControl w:val="0"/>
        <w:numPr>
          <w:ilvl w:val="0"/>
          <w:numId w:val="2"/>
        </w:numPr>
        <w:spacing w:after="120" w:line="259" w:lineRule="auto"/>
        <w:rPr>
          <w:color w:val="auto"/>
          <w:lang w:val="en-US"/>
        </w:rPr>
      </w:pPr>
      <w:r w:rsidRPr="00543D2F">
        <w:rPr>
          <w:color w:val="auto"/>
          <w:lang w:val="en-US"/>
        </w:rPr>
        <w:lastRenderedPageBreak/>
        <w:t>promoting adherence to a standard of reasonable care whilst carrying out duties required within a professional role, in order to avoid foreseeable harm</w:t>
      </w:r>
    </w:p>
    <w:p w:rsidR="00543D2F" w:rsidRPr="00543D2F" w:rsidRDefault="00543D2F" w:rsidP="00543D2F">
      <w:pPr>
        <w:widowControl w:val="0"/>
        <w:numPr>
          <w:ilvl w:val="0"/>
          <w:numId w:val="2"/>
        </w:numPr>
        <w:spacing w:after="120" w:line="259" w:lineRule="auto"/>
        <w:rPr>
          <w:color w:val="auto"/>
          <w:lang w:val="en-US"/>
        </w:rPr>
      </w:pPr>
      <w:r w:rsidRPr="00543D2F">
        <w:rPr>
          <w:color w:val="auto"/>
          <w:lang w:val="en-US"/>
        </w:rPr>
        <w:t>promoting a proportionate approach to risk assessment and management</w:t>
      </w:r>
    </w:p>
    <w:p w:rsidR="00543D2F" w:rsidRPr="00543D2F" w:rsidRDefault="00543D2F" w:rsidP="00543D2F">
      <w:pPr>
        <w:widowControl w:val="0"/>
        <w:numPr>
          <w:ilvl w:val="0"/>
          <w:numId w:val="2"/>
        </w:numPr>
        <w:spacing w:after="120" w:line="259" w:lineRule="auto"/>
        <w:rPr>
          <w:color w:val="auto"/>
          <w:lang w:val="en-US"/>
        </w:rPr>
      </w:pPr>
      <w:r w:rsidRPr="00543D2F">
        <w:rPr>
          <w:color w:val="auto"/>
          <w:lang w:val="en-US"/>
        </w:rPr>
        <w:t>clarifying different agency and practitioner responsibilities and in so doing,</w:t>
      </w:r>
    </w:p>
    <w:p w:rsidR="00543D2F" w:rsidRPr="00543D2F" w:rsidRDefault="00543D2F" w:rsidP="00543D2F">
      <w:pPr>
        <w:widowControl w:val="0"/>
        <w:numPr>
          <w:ilvl w:val="0"/>
          <w:numId w:val="2"/>
        </w:numPr>
        <w:spacing w:after="120" w:line="259" w:lineRule="auto"/>
        <w:rPr>
          <w:color w:val="auto"/>
          <w:lang w:val="en-US"/>
        </w:rPr>
      </w:pPr>
      <w:r w:rsidRPr="00543D2F">
        <w:rPr>
          <w:color w:val="auto"/>
          <w:lang w:val="en-US"/>
        </w:rPr>
        <w:t>promoting transparency, accountability, evidence of decision-making processes, actions taken and promoting an appropriate level of intervention through a multi-agency approach.</w:t>
      </w:r>
    </w:p>
    <w:p w:rsidR="00543D2F" w:rsidRPr="00543D2F" w:rsidRDefault="00543D2F" w:rsidP="00543D2F">
      <w:pPr>
        <w:widowControl w:val="0"/>
        <w:rPr>
          <w:color w:val="auto"/>
          <w:sz w:val="16"/>
          <w:szCs w:val="16"/>
          <w:lang w:val="en-US"/>
        </w:rPr>
      </w:pPr>
    </w:p>
    <w:p w:rsidR="00543D2F" w:rsidRPr="00543D2F" w:rsidRDefault="00543D2F" w:rsidP="00543D2F">
      <w:pPr>
        <w:widowControl w:val="0"/>
        <w:ind w:left="360"/>
        <w:rPr>
          <w:b/>
          <w:color w:val="00B0F0"/>
          <w:sz w:val="32"/>
          <w:szCs w:val="32"/>
          <w:lang w:val="en-US"/>
        </w:rPr>
      </w:pPr>
      <w:r w:rsidRPr="00543D2F">
        <w:rPr>
          <w:b/>
          <w:color w:val="00B0F0"/>
          <w:sz w:val="32"/>
          <w:szCs w:val="32"/>
          <w:lang w:val="en-US"/>
        </w:rPr>
        <w:t xml:space="preserve">Our Ambition </w:t>
      </w:r>
    </w:p>
    <w:p w:rsidR="00543D2F" w:rsidRPr="00543D2F" w:rsidRDefault="00543D2F" w:rsidP="00543D2F">
      <w:pPr>
        <w:widowControl w:val="0"/>
        <w:ind w:left="360"/>
        <w:rPr>
          <w:color w:val="auto"/>
          <w:sz w:val="16"/>
          <w:szCs w:val="16"/>
          <w:lang w:val="en-US"/>
        </w:rPr>
      </w:pPr>
    </w:p>
    <w:p w:rsidR="00543D2F" w:rsidRPr="00543D2F" w:rsidRDefault="00543D2F" w:rsidP="00543D2F">
      <w:pPr>
        <w:widowControl w:val="0"/>
        <w:ind w:left="360"/>
        <w:rPr>
          <w:color w:val="auto"/>
          <w:lang w:val="en-US"/>
        </w:rPr>
      </w:pPr>
      <w:r w:rsidRPr="00543D2F">
        <w:rPr>
          <w:color w:val="auto"/>
          <w:lang w:val="en-US"/>
        </w:rPr>
        <w:t xml:space="preserve">The strategy aims to build on the already important work that has been started by RBSAB and its partners who work to protect people who need help and support. The introduction of the Care Act 2014 created a legal framework so organisations and individuals with responsibility for adult safeguarding can agree on how they can best work together and what roles they must play to keep persons at risk safe. This strategy will aim to strengthen and encourage a more preventative approach to cases of self-neglect and hoarding. </w:t>
      </w:r>
    </w:p>
    <w:p w:rsidR="00543D2F" w:rsidRPr="00543D2F" w:rsidRDefault="00543D2F" w:rsidP="00543D2F">
      <w:pPr>
        <w:widowControl w:val="0"/>
        <w:ind w:left="360"/>
        <w:rPr>
          <w:color w:val="auto"/>
          <w:sz w:val="16"/>
          <w:szCs w:val="16"/>
          <w:lang w:val="en-US"/>
        </w:rPr>
      </w:pPr>
    </w:p>
    <w:p w:rsidR="00543D2F" w:rsidRPr="00543D2F" w:rsidRDefault="00543D2F" w:rsidP="00543D2F">
      <w:pPr>
        <w:widowControl w:val="0"/>
        <w:ind w:left="360"/>
        <w:rPr>
          <w:b/>
          <w:color w:val="00B0F0"/>
          <w:sz w:val="32"/>
          <w:szCs w:val="32"/>
          <w:lang w:val="en-US"/>
        </w:rPr>
      </w:pPr>
      <w:r w:rsidRPr="00543D2F">
        <w:rPr>
          <w:b/>
          <w:color w:val="00B0F0"/>
          <w:sz w:val="32"/>
          <w:szCs w:val="32"/>
          <w:lang w:val="en-US"/>
        </w:rPr>
        <w:t xml:space="preserve">Our Vision </w:t>
      </w:r>
    </w:p>
    <w:p w:rsidR="00543D2F" w:rsidRPr="00543D2F" w:rsidRDefault="00543D2F" w:rsidP="00543D2F">
      <w:pPr>
        <w:ind w:left="360"/>
        <w:rPr>
          <w:color w:val="auto"/>
          <w:sz w:val="16"/>
          <w:szCs w:val="16"/>
        </w:rPr>
      </w:pPr>
    </w:p>
    <w:p w:rsidR="00543D2F" w:rsidRPr="00543D2F" w:rsidRDefault="00543D2F" w:rsidP="00543D2F">
      <w:pPr>
        <w:ind w:left="360"/>
        <w:rPr>
          <w:color w:val="auto"/>
        </w:rPr>
      </w:pPr>
      <w:r w:rsidRPr="00543D2F">
        <w:rPr>
          <w:color w:val="auto"/>
        </w:rPr>
        <w:t>Is for all professionals to be supported to recognise and respond to individuals who as a result of their care and support needs may self-neglect and/or hoard, with the desired replacement of worker as the expert to the practitioner as the advocate or facilitator. Our interventions will be person centred, responsive, sensitive and proportionate.</w:t>
      </w:r>
      <w:r w:rsidRPr="00543D2F">
        <w:rPr>
          <w:b/>
          <w:color w:val="00B0F0"/>
          <w:sz w:val="32"/>
          <w:szCs w:val="32"/>
        </w:rPr>
        <w:t xml:space="preserve">   </w:t>
      </w:r>
    </w:p>
    <w:p w:rsidR="00543D2F" w:rsidRDefault="00543D2F" w:rsidP="00543D2F">
      <w:pPr>
        <w:rPr>
          <w:b/>
          <w:color w:val="00B0F0"/>
          <w:sz w:val="32"/>
          <w:szCs w:val="32"/>
        </w:rPr>
      </w:pPr>
      <w:r w:rsidRPr="00543D2F">
        <w:rPr>
          <w:b/>
          <w:color w:val="00B0F0"/>
          <w:sz w:val="32"/>
          <w:szCs w:val="32"/>
        </w:rPr>
        <w:t xml:space="preserve">    </w:t>
      </w:r>
    </w:p>
    <w:p w:rsidR="00543D2F" w:rsidRDefault="00543D2F" w:rsidP="00543D2F">
      <w:pPr>
        <w:rPr>
          <w:b/>
          <w:color w:val="00B0F0"/>
          <w:sz w:val="32"/>
          <w:szCs w:val="32"/>
        </w:rPr>
      </w:pPr>
    </w:p>
    <w:p w:rsidR="00543D2F" w:rsidRDefault="00543D2F" w:rsidP="00543D2F">
      <w:pPr>
        <w:rPr>
          <w:b/>
          <w:color w:val="00B0F0"/>
          <w:sz w:val="32"/>
          <w:szCs w:val="32"/>
        </w:rPr>
      </w:pPr>
    </w:p>
    <w:p w:rsidR="00543D2F" w:rsidRDefault="00543D2F" w:rsidP="00543D2F">
      <w:pPr>
        <w:rPr>
          <w:b/>
          <w:color w:val="00B0F0"/>
          <w:sz w:val="32"/>
          <w:szCs w:val="32"/>
        </w:rPr>
      </w:pPr>
    </w:p>
    <w:p w:rsidR="00543D2F" w:rsidRDefault="00543D2F" w:rsidP="00543D2F">
      <w:pPr>
        <w:rPr>
          <w:b/>
          <w:color w:val="00B0F0"/>
          <w:sz w:val="32"/>
          <w:szCs w:val="32"/>
        </w:rPr>
      </w:pPr>
    </w:p>
    <w:p w:rsidR="00543D2F" w:rsidRDefault="00543D2F" w:rsidP="00543D2F">
      <w:pPr>
        <w:rPr>
          <w:b/>
          <w:color w:val="00B0F0"/>
          <w:sz w:val="32"/>
          <w:szCs w:val="32"/>
        </w:rPr>
      </w:pPr>
    </w:p>
    <w:p w:rsidR="00543D2F" w:rsidRDefault="00543D2F" w:rsidP="00543D2F">
      <w:pPr>
        <w:rPr>
          <w:b/>
          <w:color w:val="00B0F0"/>
          <w:sz w:val="32"/>
          <w:szCs w:val="32"/>
        </w:rPr>
      </w:pPr>
    </w:p>
    <w:p w:rsidR="00543D2F" w:rsidRDefault="00543D2F" w:rsidP="00543D2F">
      <w:pPr>
        <w:rPr>
          <w:b/>
          <w:color w:val="00B0F0"/>
          <w:sz w:val="32"/>
          <w:szCs w:val="32"/>
        </w:rPr>
      </w:pPr>
    </w:p>
    <w:p w:rsidR="00543D2F" w:rsidRDefault="00543D2F" w:rsidP="00543D2F">
      <w:pPr>
        <w:rPr>
          <w:b/>
          <w:color w:val="00B0F0"/>
          <w:sz w:val="32"/>
          <w:szCs w:val="32"/>
        </w:rPr>
      </w:pPr>
    </w:p>
    <w:p w:rsidR="00543D2F" w:rsidRDefault="00543D2F" w:rsidP="00543D2F">
      <w:pPr>
        <w:rPr>
          <w:b/>
          <w:color w:val="00B0F0"/>
          <w:sz w:val="32"/>
          <w:szCs w:val="32"/>
        </w:rPr>
      </w:pPr>
    </w:p>
    <w:p w:rsidR="00543D2F" w:rsidRDefault="00543D2F" w:rsidP="00543D2F">
      <w:pPr>
        <w:rPr>
          <w:b/>
          <w:color w:val="00B0F0"/>
          <w:sz w:val="32"/>
          <w:szCs w:val="32"/>
        </w:rPr>
      </w:pPr>
    </w:p>
    <w:p w:rsidR="00543D2F" w:rsidRDefault="00543D2F" w:rsidP="00543D2F">
      <w:pPr>
        <w:rPr>
          <w:b/>
          <w:color w:val="00B0F0"/>
          <w:sz w:val="32"/>
          <w:szCs w:val="32"/>
        </w:rPr>
      </w:pPr>
    </w:p>
    <w:p w:rsidR="00543D2F" w:rsidRPr="00543D2F" w:rsidRDefault="00543D2F" w:rsidP="00543D2F">
      <w:pPr>
        <w:rPr>
          <w:b/>
          <w:color w:val="00B0F0"/>
          <w:sz w:val="32"/>
          <w:szCs w:val="32"/>
        </w:rPr>
      </w:pPr>
    </w:p>
    <w:p w:rsidR="00543D2F" w:rsidRPr="00543D2F" w:rsidRDefault="00543D2F" w:rsidP="00543D2F">
      <w:pPr>
        <w:rPr>
          <w:b/>
          <w:color w:val="00B0F0"/>
          <w:sz w:val="32"/>
          <w:szCs w:val="32"/>
        </w:rPr>
      </w:pPr>
      <w:r w:rsidRPr="00543D2F">
        <w:rPr>
          <w:b/>
          <w:color w:val="00B0F0"/>
          <w:sz w:val="32"/>
          <w:szCs w:val="32"/>
        </w:rPr>
        <w:lastRenderedPageBreak/>
        <w:t xml:space="preserve">   Our Pledge</w:t>
      </w:r>
    </w:p>
    <w:p w:rsidR="00543D2F" w:rsidRPr="00543D2F" w:rsidRDefault="00543D2F" w:rsidP="00543D2F">
      <w:pPr>
        <w:rPr>
          <w:b/>
          <w:color w:val="00B0F0"/>
          <w:sz w:val="16"/>
          <w:szCs w:val="16"/>
        </w:rPr>
      </w:pPr>
    </w:p>
    <w:p w:rsidR="00543D2F" w:rsidRPr="00543D2F" w:rsidRDefault="00543D2F" w:rsidP="00543D2F">
      <w:pPr>
        <w:rPr>
          <w:b/>
          <w:color w:val="00B0F0"/>
          <w:sz w:val="16"/>
          <w:szCs w:val="16"/>
        </w:rPr>
      </w:pPr>
    </w:p>
    <w:tbl>
      <w:tblPr>
        <w:tblStyle w:val="TableGrid"/>
        <w:tblW w:w="0" w:type="auto"/>
        <w:tblInd w:w="279" w:type="dxa"/>
        <w:shd w:val="clear" w:color="auto" w:fill="DEEAF6" w:themeFill="accent1" w:themeFillTint="33"/>
        <w:tblLook w:val="04A0" w:firstRow="1" w:lastRow="0" w:firstColumn="1" w:lastColumn="0" w:noHBand="0" w:noVBand="1"/>
      </w:tblPr>
      <w:tblGrid>
        <w:gridCol w:w="8505"/>
      </w:tblGrid>
      <w:tr w:rsidR="00543D2F" w:rsidRPr="00543D2F" w:rsidTr="007A3BB0">
        <w:trPr>
          <w:trHeight w:val="552"/>
        </w:trPr>
        <w:tc>
          <w:tcPr>
            <w:tcW w:w="8505" w:type="dxa"/>
            <w:shd w:val="clear" w:color="auto" w:fill="DEEAF6" w:themeFill="accent1" w:themeFillTint="33"/>
          </w:tcPr>
          <w:p w:rsidR="00543D2F" w:rsidRPr="00543D2F" w:rsidRDefault="00543D2F" w:rsidP="00543D2F">
            <w:pPr>
              <w:rPr>
                <w:b/>
              </w:rPr>
            </w:pPr>
            <w:r w:rsidRPr="00543D2F">
              <w:rPr>
                <w:b/>
              </w:rPr>
              <w:t>Ensure we listen to the person and they are at the centre of the self-neglect and/or hoarding concern.</w:t>
            </w:r>
          </w:p>
        </w:tc>
      </w:tr>
      <w:tr w:rsidR="00543D2F" w:rsidRPr="00543D2F" w:rsidTr="007A3BB0">
        <w:trPr>
          <w:trHeight w:val="361"/>
        </w:trPr>
        <w:tc>
          <w:tcPr>
            <w:tcW w:w="8505" w:type="dxa"/>
            <w:shd w:val="clear" w:color="auto" w:fill="DEEAF6" w:themeFill="accent1" w:themeFillTint="33"/>
          </w:tcPr>
          <w:p w:rsidR="00543D2F" w:rsidRPr="00543D2F" w:rsidRDefault="00543D2F" w:rsidP="00543D2F">
            <w:pPr>
              <w:rPr>
                <w:b/>
              </w:rPr>
            </w:pPr>
            <w:r w:rsidRPr="00543D2F">
              <w:rPr>
                <w:b/>
              </w:rPr>
              <w:t>Encourage professional curiosity.</w:t>
            </w:r>
          </w:p>
        </w:tc>
      </w:tr>
      <w:tr w:rsidR="00543D2F" w:rsidRPr="00543D2F" w:rsidTr="007A3BB0">
        <w:trPr>
          <w:trHeight w:val="552"/>
        </w:trPr>
        <w:tc>
          <w:tcPr>
            <w:tcW w:w="8505" w:type="dxa"/>
            <w:shd w:val="clear" w:color="auto" w:fill="DEEAF6" w:themeFill="accent1" w:themeFillTint="33"/>
          </w:tcPr>
          <w:p w:rsidR="00543D2F" w:rsidRPr="00543D2F" w:rsidRDefault="00543D2F" w:rsidP="00543D2F">
            <w:pPr>
              <w:rPr>
                <w:b/>
              </w:rPr>
            </w:pPr>
            <w:r w:rsidRPr="00543D2F">
              <w:rPr>
                <w:b/>
              </w:rPr>
              <w:t>Early recognition and identification of the signs of self-neglect and hoarding.</w:t>
            </w:r>
          </w:p>
        </w:tc>
      </w:tr>
      <w:tr w:rsidR="00543D2F" w:rsidRPr="00543D2F" w:rsidTr="007A3BB0">
        <w:trPr>
          <w:trHeight w:val="416"/>
        </w:trPr>
        <w:tc>
          <w:tcPr>
            <w:tcW w:w="8505" w:type="dxa"/>
            <w:shd w:val="clear" w:color="auto" w:fill="DEEAF6" w:themeFill="accent1" w:themeFillTint="33"/>
          </w:tcPr>
          <w:p w:rsidR="00543D2F" w:rsidRPr="00543D2F" w:rsidRDefault="00543D2F" w:rsidP="00543D2F">
            <w:pPr>
              <w:rPr>
                <w:b/>
              </w:rPr>
            </w:pPr>
            <w:r w:rsidRPr="00543D2F">
              <w:rPr>
                <w:b/>
              </w:rPr>
              <w:t>Work with each individual on their terms and at their pace.</w:t>
            </w:r>
          </w:p>
        </w:tc>
      </w:tr>
      <w:tr w:rsidR="00543D2F" w:rsidRPr="00543D2F" w:rsidTr="007A3BB0">
        <w:trPr>
          <w:trHeight w:val="422"/>
        </w:trPr>
        <w:tc>
          <w:tcPr>
            <w:tcW w:w="8505" w:type="dxa"/>
            <w:shd w:val="clear" w:color="auto" w:fill="DEEAF6" w:themeFill="accent1" w:themeFillTint="33"/>
          </w:tcPr>
          <w:p w:rsidR="00543D2F" w:rsidRPr="00543D2F" w:rsidRDefault="00543D2F" w:rsidP="00543D2F">
            <w:pPr>
              <w:rPr>
                <w:b/>
              </w:rPr>
            </w:pPr>
            <w:r w:rsidRPr="00543D2F">
              <w:rPr>
                <w:b/>
              </w:rPr>
              <w:t>Ensure effective information sharing between agencies</w:t>
            </w:r>
          </w:p>
        </w:tc>
      </w:tr>
      <w:tr w:rsidR="00543D2F" w:rsidRPr="00543D2F" w:rsidTr="007A3BB0">
        <w:trPr>
          <w:trHeight w:val="415"/>
        </w:trPr>
        <w:tc>
          <w:tcPr>
            <w:tcW w:w="8505" w:type="dxa"/>
            <w:shd w:val="clear" w:color="auto" w:fill="DEEAF6" w:themeFill="accent1" w:themeFillTint="33"/>
          </w:tcPr>
          <w:p w:rsidR="00543D2F" w:rsidRPr="00543D2F" w:rsidRDefault="00543D2F" w:rsidP="00543D2F">
            <w:pPr>
              <w:rPr>
                <w:b/>
              </w:rPr>
            </w:pPr>
            <w:r w:rsidRPr="00543D2F">
              <w:rPr>
                <w:b/>
              </w:rPr>
              <w:t>Re-enforce the importance of collaboration amongst agencies.</w:t>
            </w:r>
          </w:p>
        </w:tc>
      </w:tr>
      <w:tr w:rsidR="00543D2F" w:rsidRPr="00543D2F" w:rsidTr="007A3BB0">
        <w:trPr>
          <w:trHeight w:val="552"/>
        </w:trPr>
        <w:tc>
          <w:tcPr>
            <w:tcW w:w="8505" w:type="dxa"/>
            <w:shd w:val="clear" w:color="auto" w:fill="DEEAF6" w:themeFill="accent1" w:themeFillTint="33"/>
          </w:tcPr>
          <w:p w:rsidR="00543D2F" w:rsidRPr="00543D2F" w:rsidRDefault="00543D2F" w:rsidP="00543D2F">
            <w:pPr>
              <w:rPr>
                <w:b/>
              </w:rPr>
            </w:pPr>
            <w:r w:rsidRPr="00543D2F">
              <w:rPr>
                <w:b/>
              </w:rPr>
              <w:t>Public and professionals are able to recognise the indicators of self-neglect and hoarding.</w:t>
            </w:r>
          </w:p>
        </w:tc>
      </w:tr>
      <w:tr w:rsidR="00543D2F" w:rsidRPr="00543D2F" w:rsidTr="007A3BB0">
        <w:trPr>
          <w:trHeight w:val="552"/>
        </w:trPr>
        <w:tc>
          <w:tcPr>
            <w:tcW w:w="8505" w:type="dxa"/>
            <w:shd w:val="clear" w:color="auto" w:fill="DEEAF6" w:themeFill="accent1" w:themeFillTint="33"/>
          </w:tcPr>
          <w:p w:rsidR="00543D2F" w:rsidRPr="00543D2F" w:rsidRDefault="00543D2F" w:rsidP="00543D2F">
            <w:pPr>
              <w:rPr>
                <w:b/>
              </w:rPr>
            </w:pPr>
            <w:r w:rsidRPr="00543D2F">
              <w:rPr>
                <w:b/>
              </w:rPr>
              <w:t>Provide and ensure the assessment tools used among partner agencies are consistent.</w:t>
            </w:r>
          </w:p>
        </w:tc>
      </w:tr>
      <w:tr w:rsidR="00543D2F" w:rsidRPr="00543D2F" w:rsidTr="007A3BB0">
        <w:trPr>
          <w:trHeight w:val="552"/>
        </w:trPr>
        <w:tc>
          <w:tcPr>
            <w:tcW w:w="8505" w:type="dxa"/>
            <w:shd w:val="clear" w:color="auto" w:fill="DEEAF6" w:themeFill="accent1" w:themeFillTint="33"/>
          </w:tcPr>
          <w:p w:rsidR="00543D2F" w:rsidRPr="00543D2F" w:rsidRDefault="00543D2F" w:rsidP="00543D2F">
            <w:pPr>
              <w:rPr>
                <w:b/>
              </w:rPr>
            </w:pPr>
            <w:r w:rsidRPr="00543D2F">
              <w:rPr>
                <w:b/>
              </w:rPr>
              <w:t>Ensure all professionals and partners used the Mental Capacity Act appropriately to support decision making.</w:t>
            </w:r>
          </w:p>
        </w:tc>
      </w:tr>
      <w:tr w:rsidR="00543D2F" w:rsidRPr="00543D2F" w:rsidTr="007A3BB0">
        <w:trPr>
          <w:trHeight w:val="552"/>
        </w:trPr>
        <w:tc>
          <w:tcPr>
            <w:tcW w:w="8505" w:type="dxa"/>
            <w:shd w:val="clear" w:color="auto" w:fill="DEEAF6" w:themeFill="accent1" w:themeFillTint="33"/>
          </w:tcPr>
          <w:p w:rsidR="00543D2F" w:rsidRPr="00543D2F" w:rsidRDefault="00543D2F" w:rsidP="00543D2F">
            <w:pPr>
              <w:rPr>
                <w:b/>
              </w:rPr>
            </w:pPr>
            <w:r w:rsidRPr="00543D2F">
              <w:rPr>
                <w:b/>
              </w:rPr>
              <w:t>The Multi-Agency Risk Management (MRM) Protocol is used when appropriate by all professionals and partners.</w:t>
            </w:r>
          </w:p>
        </w:tc>
      </w:tr>
    </w:tbl>
    <w:p w:rsidR="00543D2F" w:rsidRPr="00543D2F" w:rsidRDefault="00543D2F" w:rsidP="00543D2F">
      <w:pPr>
        <w:rPr>
          <w:b/>
          <w:color w:val="00B0F0"/>
          <w:sz w:val="28"/>
          <w:szCs w:val="28"/>
        </w:rPr>
      </w:pPr>
    </w:p>
    <w:p w:rsidR="00543D2F" w:rsidRPr="00543D2F" w:rsidRDefault="00543D2F" w:rsidP="00543D2F">
      <w:pPr>
        <w:rPr>
          <w:b/>
          <w:color w:val="00B0F0"/>
          <w:sz w:val="32"/>
          <w:szCs w:val="32"/>
        </w:rPr>
      </w:pPr>
      <w:r w:rsidRPr="00543D2F">
        <w:rPr>
          <w:b/>
          <w:color w:val="00B0F0"/>
          <w:sz w:val="32"/>
          <w:szCs w:val="32"/>
        </w:rPr>
        <w:t>A multi-agency approach</w:t>
      </w:r>
    </w:p>
    <w:p w:rsidR="00543D2F" w:rsidRPr="00543D2F" w:rsidRDefault="00543D2F" w:rsidP="00543D2F">
      <w:pPr>
        <w:rPr>
          <w:color w:val="auto"/>
        </w:rPr>
      </w:pPr>
    </w:p>
    <w:p w:rsidR="00543D2F" w:rsidRPr="00543D2F" w:rsidRDefault="00543D2F" w:rsidP="00543D2F">
      <w:pPr>
        <w:rPr>
          <w:color w:val="auto"/>
        </w:rPr>
      </w:pPr>
      <w:r w:rsidRPr="00543D2F">
        <w:rPr>
          <w:color w:val="auto"/>
        </w:rPr>
        <w:t>Research</w:t>
      </w:r>
      <w:r w:rsidRPr="00543D2F">
        <w:rPr>
          <w:color w:val="auto"/>
          <w:vertAlign w:val="superscript"/>
        </w:rPr>
        <w:footnoteReference w:id="1"/>
      </w:r>
      <w:r w:rsidRPr="00543D2F">
        <w:rPr>
          <w:color w:val="auto"/>
        </w:rPr>
        <w:t xml:space="preserve"> suggests that on average between 2% and 5% of the population will be living within varying degrees of self-neglect and/or hoarding.  Some individuals may not meet agency eligibility thresholds and as such previous experience of attempting to engage may have had limited or no success.  These factors increase the potential risk of harm and should be identified as risk indicators that will prompt action under these self-neglect and hoarding procedures.</w:t>
      </w:r>
    </w:p>
    <w:p w:rsidR="00543D2F" w:rsidRPr="00543D2F" w:rsidRDefault="00543D2F" w:rsidP="00543D2F">
      <w:pPr>
        <w:rPr>
          <w:color w:val="auto"/>
        </w:rPr>
      </w:pPr>
    </w:p>
    <w:p w:rsidR="00543D2F" w:rsidRPr="00543D2F" w:rsidRDefault="00543D2F" w:rsidP="00543D2F">
      <w:pPr>
        <w:rPr>
          <w:color w:val="auto"/>
        </w:rPr>
      </w:pPr>
      <w:r w:rsidRPr="00543D2F">
        <w:rPr>
          <w:color w:val="auto"/>
        </w:rPr>
        <w:t>The RBSAB partnership agrees that responding to individuals with self-neglect/ hoarding behaviours must be a multi-agency priority and there is a presumption that all partner agencies will actively engage when this is requested by the lead agency as appropriate or required; and the agency holding the case will take responsibility for initiating a multi-agency partnership working approach.</w:t>
      </w:r>
    </w:p>
    <w:p w:rsidR="00543D2F" w:rsidRPr="00543D2F" w:rsidRDefault="00543D2F" w:rsidP="00543D2F">
      <w:pPr>
        <w:rPr>
          <w:color w:val="auto"/>
        </w:rPr>
      </w:pPr>
    </w:p>
    <w:p w:rsidR="00543D2F" w:rsidRPr="00543D2F" w:rsidRDefault="00543D2F" w:rsidP="00543D2F">
      <w:pPr>
        <w:rPr>
          <w:color w:val="auto"/>
        </w:rPr>
      </w:pPr>
      <w:r w:rsidRPr="00543D2F">
        <w:rPr>
          <w:color w:val="auto"/>
        </w:rPr>
        <w:t xml:space="preserve">Failure to engage with individuals who are not looking after themselves (regardless of whether they have mental capacity or not for decision about their self-neglect or hoarding behaviours) may have serious implications for, and may have a profoundly </w:t>
      </w:r>
      <w:r w:rsidRPr="00543D2F">
        <w:rPr>
          <w:color w:val="auto"/>
        </w:rPr>
        <w:lastRenderedPageBreak/>
        <w:t xml:space="preserve">detrimental effect on, an individual’s health and wellbeing and home environment. It can also impact on the individual’s family and the local community. </w:t>
      </w:r>
    </w:p>
    <w:p w:rsidR="00543D2F" w:rsidRPr="00543D2F" w:rsidRDefault="00543D2F" w:rsidP="00543D2F">
      <w:pPr>
        <w:rPr>
          <w:color w:val="auto"/>
        </w:rPr>
      </w:pPr>
    </w:p>
    <w:p w:rsidR="00543D2F" w:rsidRPr="00543D2F" w:rsidRDefault="00543D2F" w:rsidP="00543D2F">
      <w:pPr>
        <w:rPr>
          <w:color w:val="auto"/>
        </w:rPr>
      </w:pPr>
      <w:r w:rsidRPr="00543D2F">
        <w:rPr>
          <w:bCs/>
          <w:color w:val="auto"/>
        </w:rPr>
        <w:t>Underpinning this strategy and toolkit and its ability to deliver outcomes, will be individual organisations’ own policies and procedures around self-neglect and hoarding and the RBSAB policies and procedures,</w:t>
      </w:r>
      <w:r w:rsidRPr="00543D2F">
        <w:rPr>
          <w:b/>
          <w:bCs/>
          <w:color w:val="auto"/>
        </w:rPr>
        <w:t xml:space="preserve"> </w:t>
      </w:r>
      <w:r w:rsidRPr="00543D2F">
        <w:rPr>
          <w:bCs/>
          <w:color w:val="auto"/>
        </w:rPr>
        <w:t>with the aim of</w:t>
      </w:r>
      <w:r w:rsidRPr="00543D2F">
        <w:rPr>
          <w:b/>
          <w:bCs/>
          <w:color w:val="auto"/>
        </w:rPr>
        <w:t xml:space="preserve"> </w:t>
      </w:r>
      <w:r w:rsidRPr="00543D2F">
        <w:rPr>
          <w:color w:val="auto"/>
        </w:rPr>
        <w:t xml:space="preserve">preventing serious injury or even death of individuals who appear to be self-neglecting and/or hoarding by ensuring that: </w:t>
      </w:r>
    </w:p>
    <w:p w:rsidR="00543D2F" w:rsidRPr="00543D2F" w:rsidRDefault="00543D2F" w:rsidP="00543D2F">
      <w:pPr>
        <w:numPr>
          <w:ilvl w:val="0"/>
          <w:numId w:val="5"/>
        </w:numPr>
        <w:spacing w:after="160" w:line="259" w:lineRule="auto"/>
        <w:ind w:left="360"/>
        <w:rPr>
          <w:color w:val="auto"/>
        </w:rPr>
      </w:pPr>
      <w:r w:rsidRPr="00543D2F">
        <w:rPr>
          <w:color w:val="auto"/>
        </w:rPr>
        <w:t xml:space="preserve">Individuals are empowered as far as possible, to understand the implications of their actions and/or behaviours on themselves and others </w:t>
      </w:r>
    </w:p>
    <w:p w:rsidR="00543D2F" w:rsidRPr="00543D2F" w:rsidRDefault="00543D2F" w:rsidP="00543D2F">
      <w:pPr>
        <w:numPr>
          <w:ilvl w:val="0"/>
          <w:numId w:val="5"/>
        </w:numPr>
        <w:spacing w:after="160" w:line="259" w:lineRule="auto"/>
        <w:ind w:left="360"/>
        <w:rPr>
          <w:color w:val="auto"/>
        </w:rPr>
      </w:pPr>
      <w:r w:rsidRPr="00543D2F">
        <w:rPr>
          <w:color w:val="auto"/>
        </w:rPr>
        <w:t xml:space="preserve">There is a shared, multi-agency understanding and recognition of the issues including those involved in working with individuals who self-neglect and/or are deemed as hoarders </w:t>
      </w:r>
    </w:p>
    <w:p w:rsidR="00543D2F" w:rsidRPr="00543D2F" w:rsidRDefault="00543D2F" w:rsidP="00543D2F">
      <w:pPr>
        <w:numPr>
          <w:ilvl w:val="0"/>
          <w:numId w:val="5"/>
        </w:numPr>
        <w:spacing w:after="160" w:line="259" w:lineRule="auto"/>
        <w:ind w:left="360"/>
        <w:rPr>
          <w:color w:val="auto"/>
        </w:rPr>
      </w:pPr>
      <w:r w:rsidRPr="00543D2F">
        <w:rPr>
          <w:color w:val="auto"/>
        </w:rPr>
        <w:t>There is effective and proactive multi-agency working,  which  challenge practice and ensure that concerns/ risks receive appropriate prioritisation</w:t>
      </w:r>
    </w:p>
    <w:p w:rsidR="00543D2F" w:rsidRPr="00543D2F" w:rsidRDefault="00543D2F" w:rsidP="00543D2F">
      <w:pPr>
        <w:numPr>
          <w:ilvl w:val="0"/>
          <w:numId w:val="5"/>
        </w:numPr>
        <w:spacing w:after="160" w:line="259" w:lineRule="auto"/>
        <w:ind w:left="360"/>
        <w:rPr>
          <w:color w:val="auto"/>
        </w:rPr>
      </w:pPr>
      <w:r w:rsidRPr="00543D2F">
        <w:rPr>
          <w:color w:val="auto"/>
        </w:rPr>
        <w:t xml:space="preserve">The Multi-Agency Risk Management Protocol (MRM) is used where appropriate. </w:t>
      </w:r>
    </w:p>
    <w:p w:rsidR="00543D2F" w:rsidRPr="00543D2F" w:rsidRDefault="00543D2F" w:rsidP="00543D2F">
      <w:pPr>
        <w:numPr>
          <w:ilvl w:val="0"/>
          <w:numId w:val="5"/>
        </w:numPr>
        <w:spacing w:after="160" w:line="259" w:lineRule="auto"/>
        <w:ind w:left="360"/>
        <w:rPr>
          <w:color w:val="auto"/>
        </w:rPr>
      </w:pPr>
      <w:r w:rsidRPr="00543D2F">
        <w:rPr>
          <w:color w:val="auto"/>
        </w:rPr>
        <w:t>That all interventions to work with an individual who has self-neglecting and/or hoarding  behaviours are based on the principles of Making Safeguarding Personal (MSP).</w:t>
      </w:r>
    </w:p>
    <w:p w:rsidR="00543D2F" w:rsidRPr="00543D2F" w:rsidRDefault="00543D2F" w:rsidP="00543D2F">
      <w:pPr>
        <w:numPr>
          <w:ilvl w:val="0"/>
          <w:numId w:val="5"/>
        </w:numPr>
        <w:spacing w:after="160" w:line="259" w:lineRule="auto"/>
        <w:ind w:left="360"/>
        <w:rPr>
          <w:color w:val="auto"/>
        </w:rPr>
      </w:pPr>
      <w:r w:rsidRPr="00543D2F">
        <w:rPr>
          <w:color w:val="auto"/>
        </w:rPr>
        <w:t xml:space="preserve">There is a proportionate response to the level of risk to self and others. </w:t>
      </w:r>
    </w:p>
    <w:p w:rsidR="00543D2F" w:rsidRPr="00543D2F" w:rsidRDefault="00543D2F" w:rsidP="00543D2F">
      <w:pPr>
        <w:numPr>
          <w:ilvl w:val="0"/>
          <w:numId w:val="6"/>
        </w:numPr>
        <w:spacing w:after="160" w:line="259" w:lineRule="auto"/>
        <w:ind w:left="360"/>
        <w:rPr>
          <w:color w:val="auto"/>
        </w:rPr>
      </w:pPr>
      <w:r w:rsidRPr="00543D2F">
        <w:rPr>
          <w:color w:val="auto"/>
        </w:rPr>
        <w:t>There is a knowledge and awareness of the different powers and duties provided by legislation and their relevance to the particular situation and individuals’ needs, this includes the extent and limitations of the ‘duty of care’ of professionals</w:t>
      </w:r>
    </w:p>
    <w:p w:rsidR="00543D2F" w:rsidRPr="00543D2F" w:rsidRDefault="00543D2F" w:rsidP="00543D2F">
      <w:pPr>
        <w:rPr>
          <w:b/>
          <w:color w:val="00B0F0"/>
          <w:sz w:val="28"/>
          <w:szCs w:val="28"/>
        </w:rPr>
      </w:pPr>
    </w:p>
    <w:p w:rsidR="00543D2F" w:rsidRPr="00543D2F" w:rsidRDefault="00543D2F" w:rsidP="00543D2F">
      <w:pPr>
        <w:rPr>
          <w:b/>
          <w:color w:val="00B0F0"/>
          <w:sz w:val="28"/>
          <w:szCs w:val="28"/>
        </w:rPr>
      </w:pPr>
      <w:r w:rsidRPr="00543D2F">
        <w:rPr>
          <w:b/>
          <w:color w:val="00B0F0"/>
          <w:sz w:val="28"/>
          <w:szCs w:val="28"/>
        </w:rPr>
        <w:t>Governance and accountability</w:t>
      </w:r>
    </w:p>
    <w:p w:rsidR="00543D2F" w:rsidRPr="00543D2F" w:rsidRDefault="00543D2F" w:rsidP="00543D2F">
      <w:pPr>
        <w:rPr>
          <w:color w:val="auto"/>
          <w:sz w:val="16"/>
          <w:szCs w:val="16"/>
        </w:rPr>
      </w:pPr>
    </w:p>
    <w:p w:rsidR="00543D2F" w:rsidRPr="00543D2F" w:rsidRDefault="00543D2F" w:rsidP="00543D2F">
      <w:pPr>
        <w:rPr>
          <w:color w:val="auto"/>
        </w:rPr>
      </w:pPr>
      <w:r w:rsidRPr="00543D2F">
        <w:rPr>
          <w:color w:val="auto"/>
        </w:rPr>
        <w:t>Governance will be provided by RBSAB and challenge provided by monitoring progress against the strategic objectives. This will be done in the Excellence in Practice Sub-Group and the Quality Assurance and Performance Improvement Sub-Group of the Safeguarding Adult’s Board.</w:t>
      </w:r>
    </w:p>
    <w:p w:rsidR="00543D2F" w:rsidRPr="00543D2F" w:rsidRDefault="00543D2F" w:rsidP="00543D2F">
      <w:pPr>
        <w:rPr>
          <w:color w:val="FF0000"/>
        </w:rPr>
      </w:pPr>
    </w:p>
    <w:p w:rsidR="00543D2F" w:rsidRPr="00543D2F" w:rsidRDefault="00543D2F" w:rsidP="00543D2F">
      <w:pPr>
        <w:rPr>
          <w:b/>
          <w:color w:val="00B0F0"/>
          <w:sz w:val="28"/>
          <w:szCs w:val="28"/>
        </w:rPr>
      </w:pPr>
      <w:r w:rsidRPr="00543D2F">
        <w:rPr>
          <w:b/>
          <w:color w:val="00B0F0"/>
          <w:sz w:val="28"/>
          <w:szCs w:val="28"/>
        </w:rPr>
        <w:t>Measuring effectiveness</w:t>
      </w:r>
    </w:p>
    <w:p w:rsidR="00543D2F" w:rsidRPr="00543D2F" w:rsidRDefault="00543D2F" w:rsidP="00543D2F">
      <w:pPr>
        <w:rPr>
          <w:color w:val="auto"/>
          <w:sz w:val="16"/>
          <w:szCs w:val="16"/>
        </w:rPr>
      </w:pPr>
    </w:p>
    <w:p w:rsidR="00543D2F" w:rsidRPr="00543D2F" w:rsidRDefault="00543D2F" w:rsidP="00543D2F">
      <w:pPr>
        <w:rPr>
          <w:color w:val="auto"/>
        </w:rPr>
      </w:pPr>
      <w:r w:rsidRPr="00543D2F">
        <w:rPr>
          <w:color w:val="auto"/>
        </w:rPr>
        <w:t>The following outcome based indicators will demonstrate the effectiveness of the strategy:</w:t>
      </w:r>
    </w:p>
    <w:p w:rsidR="00543D2F" w:rsidRPr="00543D2F" w:rsidRDefault="00543D2F" w:rsidP="00543D2F">
      <w:pPr>
        <w:widowControl w:val="0"/>
        <w:numPr>
          <w:ilvl w:val="0"/>
          <w:numId w:val="4"/>
        </w:numPr>
        <w:spacing w:after="160" w:line="259" w:lineRule="auto"/>
        <w:rPr>
          <w:color w:val="auto"/>
          <w:lang w:val="en-US"/>
        </w:rPr>
      </w:pPr>
      <w:r w:rsidRPr="00543D2F">
        <w:rPr>
          <w:color w:val="auto"/>
          <w:lang w:val="en-US"/>
        </w:rPr>
        <w:t>Reduction in the number of referrals and re-referrals to Adult Social Care</w:t>
      </w:r>
    </w:p>
    <w:p w:rsidR="00543D2F" w:rsidRPr="00543D2F" w:rsidRDefault="00543D2F" w:rsidP="00543D2F">
      <w:pPr>
        <w:widowControl w:val="0"/>
        <w:numPr>
          <w:ilvl w:val="0"/>
          <w:numId w:val="4"/>
        </w:numPr>
        <w:spacing w:after="160" w:line="259" w:lineRule="auto"/>
        <w:rPr>
          <w:color w:val="auto"/>
          <w:lang w:val="en-US"/>
        </w:rPr>
      </w:pPr>
      <w:r w:rsidRPr="00543D2F">
        <w:rPr>
          <w:color w:val="auto"/>
          <w:lang w:val="en-US"/>
        </w:rPr>
        <w:t>Increase in early intervention offers to address self-neglect issues</w:t>
      </w:r>
    </w:p>
    <w:p w:rsidR="00543D2F" w:rsidRPr="00543D2F" w:rsidRDefault="00543D2F" w:rsidP="00543D2F">
      <w:pPr>
        <w:widowControl w:val="0"/>
        <w:numPr>
          <w:ilvl w:val="0"/>
          <w:numId w:val="4"/>
        </w:numPr>
        <w:spacing w:after="160" w:line="259" w:lineRule="auto"/>
        <w:rPr>
          <w:color w:val="auto"/>
          <w:lang w:val="en-US"/>
        </w:rPr>
      </w:pPr>
      <w:r w:rsidRPr="00543D2F">
        <w:rPr>
          <w:color w:val="auto"/>
          <w:lang w:val="en-US"/>
        </w:rPr>
        <w:lastRenderedPageBreak/>
        <w:t>Individual case studies which look at the impact on services pre/post support offer</w:t>
      </w:r>
    </w:p>
    <w:p w:rsidR="00543D2F" w:rsidRPr="00543D2F" w:rsidRDefault="00543D2F" w:rsidP="00543D2F">
      <w:pPr>
        <w:widowControl w:val="0"/>
        <w:numPr>
          <w:ilvl w:val="0"/>
          <w:numId w:val="4"/>
        </w:numPr>
        <w:spacing w:after="160" w:line="259" w:lineRule="auto"/>
        <w:rPr>
          <w:color w:val="auto"/>
          <w:lang w:val="en-US"/>
        </w:rPr>
      </w:pPr>
      <w:r w:rsidRPr="00543D2F">
        <w:rPr>
          <w:color w:val="auto"/>
          <w:lang w:val="en-US"/>
        </w:rPr>
        <w:t>Measuring cost effectiveness of the Housing Triage Service and identifying savings to services</w:t>
      </w:r>
    </w:p>
    <w:p w:rsidR="00543D2F" w:rsidRPr="00543D2F" w:rsidRDefault="00543D2F" w:rsidP="00543D2F">
      <w:pPr>
        <w:widowControl w:val="0"/>
        <w:numPr>
          <w:ilvl w:val="0"/>
          <w:numId w:val="4"/>
        </w:numPr>
        <w:spacing w:after="160" w:line="259" w:lineRule="auto"/>
        <w:rPr>
          <w:color w:val="auto"/>
          <w:lang w:val="en-US"/>
        </w:rPr>
      </w:pPr>
      <w:r w:rsidRPr="00543D2F">
        <w:rPr>
          <w:color w:val="auto"/>
          <w:lang w:val="en-US"/>
        </w:rPr>
        <w:t>Multi-agency case file audits (MACFAs) to demonstrate improvements in outcomes</w:t>
      </w:r>
    </w:p>
    <w:p w:rsidR="006C7AD1" w:rsidRDefault="006C7AD1"/>
    <w:sectPr w:rsidR="006C7AD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D2F" w:rsidRDefault="00543D2F" w:rsidP="00543D2F">
      <w:r>
        <w:separator/>
      </w:r>
    </w:p>
  </w:endnote>
  <w:endnote w:type="continuationSeparator" w:id="0">
    <w:p w:rsidR="00543D2F" w:rsidRDefault="00543D2F" w:rsidP="00543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D2F" w:rsidRPr="00543D2F" w:rsidRDefault="00543D2F" w:rsidP="00543D2F">
    <w:pPr>
      <w:widowControl w:val="0"/>
      <w:tabs>
        <w:tab w:val="center" w:pos="4513"/>
        <w:tab w:val="right" w:pos="9026"/>
      </w:tabs>
      <w:rPr>
        <w:rFonts w:asciiTheme="minorHAnsi" w:hAnsiTheme="minorHAnsi" w:cstheme="minorBidi"/>
        <w:color w:val="auto"/>
        <w:sz w:val="22"/>
        <w:szCs w:val="22"/>
        <w:lang w:val="en-US"/>
      </w:rPr>
    </w:pPr>
  </w:p>
  <w:p w:rsidR="00543D2F" w:rsidRPr="00543D2F" w:rsidRDefault="00543D2F" w:rsidP="00543D2F">
    <w:pPr>
      <w:spacing w:after="160" w:line="259" w:lineRule="auto"/>
      <w:rPr>
        <w:rFonts w:asciiTheme="minorHAnsi" w:hAnsiTheme="minorHAnsi" w:cstheme="minorBidi"/>
        <w:color w:val="auto"/>
        <w:sz w:val="22"/>
        <w:szCs w:val="22"/>
      </w:rPr>
    </w:pPr>
  </w:p>
  <w:p w:rsidR="00543D2F" w:rsidRPr="00543D2F" w:rsidRDefault="00543D2F" w:rsidP="00543D2F">
    <w:pPr>
      <w:widowControl w:val="0"/>
      <w:tabs>
        <w:tab w:val="center" w:pos="4513"/>
        <w:tab w:val="right" w:pos="9026"/>
      </w:tabs>
      <w:rPr>
        <w:rFonts w:asciiTheme="minorHAnsi" w:hAnsiTheme="minorHAnsi" w:cstheme="minorBidi"/>
        <w:color w:val="auto"/>
        <w:sz w:val="22"/>
        <w:szCs w:val="22"/>
        <w:lang w:val="en-US"/>
      </w:rPr>
    </w:pPr>
  </w:p>
  <w:p w:rsidR="00543D2F" w:rsidRPr="00543D2F" w:rsidRDefault="00543D2F" w:rsidP="00543D2F">
    <w:pPr>
      <w:spacing w:after="160" w:line="259" w:lineRule="auto"/>
      <w:rPr>
        <w:rFonts w:asciiTheme="minorHAnsi" w:hAnsiTheme="minorHAnsi" w:cstheme="minorBidi"/>
        <w:color w:val="auto"/>
        <w:sz w:val="22"/>
        <w:szCs w:val="22"/>
      </w:rPr>
    </w:pPr>
  </w:p>
  <w:sdt>
    <w:sdtPr>
      <w:rPr>
        <w:rFonts w:asciiTheme="minorHAnsi" w:hAnsiTheme="minorHAnsi" w:cstheme="minorBidi"/>
        <w:color w:val="auto"/>
        <w:sz w:val="22"/>
        <w:szCs w:val="22"/>
        <w:lang w:val="en-US"/>
      </w:rPr>
      <w:id w:val="210852331"/>
      <w:docPartObj>
        <w:docPartGallery w:val="Page Numbers (Bottom of Page)"/>
        <w:docPartUnique/>
      </w:docPartObj>
    </w:sdtPr>
    <w:sdtEndPr>
      <w:rPr>
        <w:rFonts w:ascii="Arial" w:hAnsi="Arial" w:cs="Arial"/>
        <w:i/>
        <w:noProof/>
        <w:sz w:val="16"/>
        <w:szCs w:val="16"/>
      </w:rPr>
    </w:sdtEndPr>
    <w:sdtContent>
      <w:p w:rsidR="00543D2F" w:rsidRPr="00543D2F" w:rsidRDefault="00543D2F" w:rsidP="00543D2F">
        <w:pPr>
          <w:widowControl w:val="0"/>
          <w:tabs>
            <w:tab w:val="center" w:pos="4513"/>
            <w:tab w:val="right" w:pos="9026"/>
          </w:tabs>
          <w:jc w:val="center"/>
          <w:rPr>
            <w:i/>
            <w:color w:val="auto"/>
            <w:sz w:val="16"/>
            <w:szCs w:val="16"/>
            <w:lang w:val="en-US"/>
          </w:rPr>
        </w:pPr>
        <w:r w:rsidRPr="00543D2F">
          <w:rPr>
            <w:i/>
            <w:color w:val="auto"/>
            <w:sz w:val="16"/>
            <w:szCs w:val="16"/>
            <w:lang w:val="en-US"/>
          </w:rPr>
          <w:t>This is a controlled document. Whilst this document may be printed, the electronic version posted on the RBSAB website is the controlled copy. Any printed copies of this document are not controlled. As a controlled document, this document should not be saved onto local or network drives but should always be accessed from the RBSAB website – www.rbsab.org</w:t>
        </w:r>
      </w:p>
    </w:sdtContent>
  </w:sdt>
  <w:p w:rsidR="00543D2F" w:rsidRDefault="00543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D2F" w:rsidRDefault="00543D2F" w:rsidP="00543D2F">
      <w:r>
        <w:separator/>
      </w:r>
    </w:p>
  </w:footnote>
  <w:footnote w:type="continuationSeparator" w:id="0">
    <w:p w:rsidR="00543D2F" w:rsidRDefault="00543D2F" w:rsidP="00543D2F">
      <w:r>
        <w:continuationSeparator/>
      </w:r>
    </w:p>
  </w:footnote>
  <w:footnote w:id="1">
    <w:p w:rsidR="00543D2F" w:rsidRDefault="00543D2F" w:rsidP="00543D2F">
      <w:r>
        <w:rPr>
          <w:rStyle w:val="HeaderChar"/>
        </w:rPr>
        <w:footnoteRef/>
      </w:r>
      <w:r>
        <w:t xml:space="preserve"> A Psychological Perspective on Hoarding (2015) Holmes S. (Ed), British Psychological Society, Leicester.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15A36"/>
    <w:multiLevelType w:val="hybridMultilevel"/>
    <w:tmpl w:val="1D6E7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1C4458"/>
    <w:multiLevelType w:val="hybridMultilevel"/>
    <w:tmpl w:val="715669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78B5243"/>
    <w:multiLevelType w:val="hybridMultilevel"/>
    <w:tmpl w:val="364448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8BE6FB4"/>
    <w:multiLevelType w:val="hybridMultilevel"/>
    <w:tmpl w:val="1A7C8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831AEC"/>
    <w:multiLevelType w:val="hybridMultilevel"/>
    <w:tmpl w:val="FBD84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9A0C72"/>
    <w:multiLevelType w:val="hybridMultilevel"/>
    <w:tmpl w:val="4126AA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D2F"/>
    <w:rsid w:val="00543D2F"/>
    <w:rsid w:val="006C7AD1"/>
    <w:rsid w:val="00864477"/>
    <w:rsid w:val="008E38F4"/>
    <w:rsid w:val="009B1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3EFD0"/>
  <w15:chartTrackingRefBased/>
  <w15:docId w15:val="{AF170F2F-3F57-45F8-B1FB-DDFE3538F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000000"/>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3D2F"/>
    <w:pPr>
      <w:tabs>
        <w:tab w:val="center" w:pos="4513"/>
        <w:tab w:val="right" w:pos="9026"/>
      </w:tabs>
    </w:pPr>
  </w:style>
  <w:style w:type="character" w:customStyle="1" w:styleId="HeaderChar">
    <w:name w:val="Header Char"/>
    <w:basedOn w:val="DefaultParagraphFont"/>
    <w:link w:val="Header"/>
    <w:uiPriority w:val="99"/>
    <w:rsid w:val="00543D2F"/>
  </w:style>
  <w:style w:type="table" w:styleId="TableGrid">
    <w:name w:val="Table Grid"/>
    <w:basedOn w:val="TableNormal"/>
    <w:uiPriority w:val="59"/>
    <w:rsid w:val="00543D2F"/>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43D2F"/>
    <w:pPr>
      <w:tabs>
        <w:tab w:val="center" w:pos="4513"/>
        <w:tab w:val="right" w:pos="9026"/>
      </w:tabs>
    </w:pPr>
  </w:style>
  <w:style w:type="character" w:customStyle="1" w:styleId="FooterChar">
    <w:name w:val="Footer Char"/>
    <w:basedOn w:val="DefaultParagraphFont"/>
    <w:link w:val="Footer"/>
    <w:uiPriority w:val="99"/>
    <w:rsid w:val="00543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1519</Words>
  <Characters>8663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Rochdale BC</Company>
  <LinksUpToDate>false</LinksUpToDate>
  <CharactersWithSpaces>10162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Travis</dc:creator>
  <cp:keywords/>
  <dc:description/>
  <cp:lastModifiedBy>Carl Travis</cp:lastModifiedBy>
  <cp:revision>2</cp:revision>
  <dcterms:created xsi:type="dcterms:W3CDTF">2024-01-24T14:21:00Z</dcterms:created>
  <dcterms:modified xsi:type="dcterms:W3CDTF">2024-01-24T14:21:00Z</dcterms:modified>
</cp:coreProperties>
</file>