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A23" w:rsidRDefault="00ED3A23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2640225</wp:posOffset>
            </wp:positionH>
            <wp:positionV relativeFrom="page">
              <wp:posOffset>508635</wp:posOffset>
            </wp:positionV>
            <wp:extent cx="3798570" cy="112585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Joint Logo 2020 2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1125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A23" w:rsidRDefault="00ED3A23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A23" w:rsidRDefault="00ED3A23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A23" w:rsidRDefault="00ED3A23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A23" w:rsidRDefault="00ED3A23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ED3A23">
        <w:rPr>
          <w:rFonts w:ascii="Arial" w:hAnsi="Arial" w:cs="Arial"/>
          <w:noProof/>
          <w:sz w:val="24"/>
          <w:szCs w:val="24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297896</wp:posOffset>
            </wp:positionV>
            <wp:extent cx="7670142" cy="5495453"/>
            <wp:effectExtent l="0" t="0" r="7620" b="0"/>
            <wp:wrapSquare wrapText="bothSides"/>
            <wp:docPr id="1" name="Picture 1" descr="J:\Safeguarding Board Business Unit\1. Business Unit\9. RBSB staff\Carl Travis\Piccies\Thinkstock\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Safeguarding Board Business Unit\1. Business Unit\9. RBSB staff\Carl Travis\Piccies\Thinkstock\16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70142" cy="5495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A23" w:rsidRDefault="00ED3A23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A23" w:rsidRDefault="00ED3A23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A23" w:rsidRDefault="00ED3A23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A23" w:rsidRPr="00ED3A23" w:rsidRDefault="00ED3A23" w:rsidP="00ED3A23">
      <w:pPr>
        <w:spacing w:after="0" w:line="240" w:lineRule="auto"/>
        <w:rPr>
          <w:rFonts w:ascii="Arial" w:hAnsi="Arial" w:cs="Arial"/>
          <w:sz w:val="72"/>
          <w:szCs w:val="72"/>
        </w:rPr>
      </w:pPr>
      <w:r w:rsidRPr="00ED3A23">
        <w:rPr>
          <w:rFonts w:ascii="Arial" w:hAnsi="Arial" w:cs="Arial"/>
          <w:sz w:val="72"/>
          <w:szCs w:val="72"/>
        </w:rPr>
        <w:t>Gender Identity &amp;</w:t>
      </w:r>
    </w:p>
    <w:p w:rsidR="00ED3A23" w:rsidRPr="00ED3A23" w:rsidRDefault="00ED3A23" w:rsidP="00ED3A23">
      <w:pPr>
        <w:spacing w:after="0" w:line="240" w:lineRule="auto"/>
        <w:rPr>
          <w:rFonts w:ascii="Arial" w:hAnsi="Arial" w:cs="Arial"/>
          <w:sz w:val="72"/>
          <w:szCs w:val="72"/>
        </w:rPr>
      </w:pPr>
      <w:r w:rsidRPr="00ED3A23">
        <w:rPr>
          <w:rFonts w:ascii="Arial" w:hAnsi="Arial" w:cs="Arial"/>
          <w:sz w:val="72"/>
          <w:szCs w:val="72"/>
        </w:rPr>
        <w:t>Expression –</w:t>
      </w:r>
    </w:p>
    <w:p w:rsidR="00ED3A23" w:rsidRPr="00ED3A23" w:rsidRDefault="00ED3A23" w:rsidP="00ED3A23">
      <w:pPr>
        <w:spacing w:after="0" w:line="240" w:lineRule="auto"/>
        <w:rPr>
          <w:rFonts w:ascii="Arial" w:hAnsi="Arial" w:cs="Arial"/>
          <w:sz w:val="72"/>
          <w:szCs w:val="72"/>
        </w:rPr>
      </w:pPr>
      <w:r w:rsidRPr="00ED3A23">
        <w:rPr>
          <w:rFonts w:ascii="Arial" w:hAnsi="Arial" w:cs="Arial"/>
          <w:sz w:val="72"/>
          <w:szCs w:val="72"/>
        </w:rPr>
        <w:t>A Guide to Terminology</w:t>
      </w:r>
    </w:p>
    <w:p w:rsidR="00ED3A23" w:rsidRDefault="00ED3A23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A23" w:rsidRPr="00ED3A23" w:rsidRDefault="00ED3A23" w:rsidP="001F2C4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 w:rsidRPr="00ED3A23">
        <w:rPr>
          <w:rFonts w:ascii="Arial" w:hAnsi="Arial" w:cs="Arial"/>
          <w:b/>
          <w:sz w:val="32"/>
          <w:szCs w:val="32"/>
        </w:rPr>
        <w:lastRenderedPageBreak/>
        <w:t>Introduction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This guide is designed to be an introduction to the terms widely in use to describe gender identity and gender expression. It is not intended to be an exha</w:t>
      </w:r>
      <w:r>
        <w:rPr>
          <w:rFonts w:ascii="Arial" w:hAnsi="Arial" w:cs="Arial"/>
          <w:sz w:val="24"/>
          <w:szCs w:val="24"/>
        </w:rPr>
        <w:t xml:space="preserve">ustive list, and everyone will </w:t>
      </w:r>
      <w:r w:rsidRPr="001F2C47">
        <w:rPr>
          <w:rFonts w:ascii="Arial" w:hAnsi="Arial" w:cs="Arial"/>
          <w:sz w:val="24"/>
          <w:szCs w:val="24"/>
        </w:rPr>
        <w:t xml:space="preserve">have terms they prefer to use. 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You should always check with the person you ar</w:t>
      </w:r>
      <w:r>
        <w:rPr>
          <w:rFonts w:ascii="Arial" w:hAnsi="Arial" w:cs="Arial"/>
          <w:sz w:val="24"/>
          <w:szCs w:val="24"/>
        </w:rPr>
        <w:t xml:space="preserve">e speaking to which terms they </w:t>
      </w:r>
      <w:r w:rsidRPr="001F2C47">
        <w:rPr>
          <w:rFonts w:ascii="Arial" w:hAnsi="Arial" w:cs="Arial"/>
          <w:sz w:val="24"/>
          <w:szCs w:val="24"/>
        </w:rPr>
        <w:t>prefer to use, and which best fit their definition of who they are.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 xml:space="preserve">If you make a mistake – like using the wrong name </w:t>
      </w:r>
      <w:r>
        <w:rPr>
          <w:rFonts w:ascii="Arial" w:hAnsi="Arial" w:cs="Arial"/>
          <w:sz w:val="24"/>
          <w:szCs w:val="24"/>
        </w:rPr>
        <w:t xml:space="preserve">or pronoun – it’s important to </w:t>
      </w:r>
      <w:r w:rsidRPr="001F2C47">
        <w:rPr>
          <w:rFonts w:ascii="Arial" w:hAnsi="Arial" w:cs="Arial"/>
          <w:sz w:val="24"/>
          <w:szCs w:val="24"/>
        </w:rPr>
        <w:t>acknowledge it. The best thing to do is apologise to the per</w:t>
      </w:r>
      <w:r>
        <w:rPr>
          <w:rFonts w:ascii="Arial" w:hAnsi="Arial" w:cs="Arial"/>
          <w:sz w:val="24"/>
          <w:szCs w:val="24"/>
        </w:rPr>
        <w:t xml:space="preserve">son, correct yourself and move </w:t>
      </w:r>
      <w:r w:rsidRPr="001F2C47">
        <w:rPr>
          <w:rFonts w:ascii="Arial" w:hAnsi="Arial" w:cs="Arial"/>
          <w:sz w:val="24"/>
          <w:szCs w:val="24"/>
        </w:rPr>
        <w:t>on.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Gender identity is also a dynamic area in which understan</w:t>
      </w:r>
      <w:r>
        <w:rPr>
          <w:rFonts w:ascii="Arial" w:hAnsi="Arial" w:cs="Arial"/>
          <w:sz w:val="24"/>
          <w:szCs w:val="24"/>
        </w:rPr>
        <w:t xml:space="preserve">ding, and language evolves and </w:t>
      </w:r>
      <w:r w:rsidRPr="001F2C47">
        <w:rPr>
          <w:rFonts w:ascii="Arial" w:hAnsi="Arial" w:cs="Arial"/>
          <w:sz w:val="24"/>
          <w:szCs w:val="24"/>
        </w:rPr>
        <w:t>develops as our awareness grows. It is intended that the be</w:t>
      </w:r>
      <w:r>
        <w:rPr>
          <w:rFonts w:ascii="Arial" w:hAnsi="Arial" w:cs="Arial"/>
          <w:sz w:val="24"/>
          <w:szCs w:val="24"/>
        </w:rPr>
        <w:t xml:space="preserve">low explanation of some of the  </w:t>
      </w:r>
      <w:r w:rsidRPr="001F2C47">
        <w:rPr>
          <w:rFonts w:ascii="Arial" w:hAnsi="Arial" w:cs="Arial"/>
          <w:sz w:val="24"/>
          <w:szCs w:val="24"/>
        </w:rPr>
        <w:t xml:space="preserve">more common terms will help you begin to feel more </w:t>
      </w:r>
      <w:r>
        <w:rPr>
          <w:rFonts w:ascii="Arial" w:hAnsi="Arial" w:cs="Arial"/>
          <w:sz w:val="24"/>
          <w:szCs w:val="24"/>
        </w:rPr>
        <w:t xml:space="preserve">confident in understanding and </w:t>
      </w:r>
      <w:r w:rsidRPr="001F2C47">
        <w:rPr>
          <w:rFonts w:ascii="Arial" w:hAnsi="Arial" w:cs="Arial"/>
          <w:sz w:val="24"/>
          <w:szCs w:val="24"/>
        </w:rPr>
        <w:t>exploring gender identity issues</w:t>
      </w:r>
      <w:r>
        <w:rPr>
          <w:rFonts w:ascii="Arial" w:hAnsi="Arial" w:cs="Arial"/>
          <w:sz w:val="24"/>
          <w:szCs w:val="24"/>
        </w:rPr>
        <w:t xml:space="preserve"> with people where appropriate.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ED3A23" w:rsidRPr="00F42BB0" w:rsidRDefault="00F42BB0" w:rsidP="001F2C47">
      <w:pPr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Terms</w:t>
      </w:r>
    </w:p>
    <w:p w:rsidR="001F2C47" w:rsidRPr="00ED3A23" w:rsidRDefault="001F2C47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D3A23">
        <w:rPr>
          <w:rFonts w:ascii="Arial" w:hAnsi="Arial" w:cs="Arial"/>
          <w:b/>
          <w:color w:val="0070C0"/>
          <w:sz w:val="24"/>
          <w:szCs w:val="24"/>
        </w:rPr>
        <w:t>Cisgender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Someone whose gender identity is the same as the sex they were assigned at birth.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ED3A23" w:rsidRDefault="001F2C47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D3A23">
        <w:rPr>
          <w:rFonts w:ascii="Arial" w:hAnsi="Arial" w:cs="Arial"/>
          <w:b/>
          <w:color w:val="0070C0"/>
          <w:sz w:val="24"/>
          <w:szCs w:val="24"/>
        </w:rPr>
        <w:t>Deadnaming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When someone refers to a transgender or non</w:t>
      </w:r>
      <w:r>
        <w:rPr>
          <w:rFonts w:ascii="Arial" w:hAnsi="Arial" w:cs="Arial"/>
          <w:sz w:val="24"/>
          <w:szCs w:val="24"/>
        </w:rPr>
        <w:t>-</w:t>
      </w:r>
      <w:r w:rsidRPr="001F2C47">
        <w:rPr>
          <w:rFonts w:ascii="Arial" w:hAnsi="Arial" w:cs="Arial"/>
          <w:sz w:val="24"/>
          <w:szCs w:val="24"/>
        </w:rPr>
        <w:t>binary per</w:t>
      </w:r>
      <w:r>
        <w:rPr>
          <w:rFonts w:ascii="Arial" w:hAnsi="Arial" w:cs="Arial"/>
          <w:sz w:val="24"/>
          <w:szCs w:val="24"/>
        </w:rPr>
        <w:t xml:space="preserve">son by a name they used before </w:t>
      </w:r>
      <w:r w:rsidRPr="001F2C47">
        <w:rPr>
          <w:rFonts w:ascii="Arial" w:hAnsi="Arial" w:cs="Arial"/>
          <w:sz w:val="24"/>
          <w:szCs w:val="24"/>
        </w:rPr>
        <w:t>transitioning. This is often the name they were given at birth, also called a</w:t>
      </w:r>
      <w:r>
        <w:rPr>
          <w:rFonts w:ascii="Arial" w:hAnsi="Arial" w:cs="Arial"/>
          <w:sz w:val="24"/>
          <w:szCs w:val="24"/>
        </w:rPr>
        <w:t xml:space="preserve"> deadname. </w:t>
      </w:r>
      <w:r w:rsidRPr="001F2C47">
        <w:rPr>
          <w:rFonts w:ascii="Arial" w:hAnsi="Arial" w:cs="Arial"/>
          <w:sz w:val="24"/>
          <w:szCs w:val="24"/>
        </w:rPr>
        <w:t>Deadnaming can be intentional or unintentional but both i</w:t>
      </w:r>
      <w:r>
        <w:rPr>
          <w:rFonts w:ascii="Arial" w:hAnsi="Arial" w:cs="Arial"/>
          <w:sz w:val="24"/>
          <w:szCs w:val="24"/>
        </w:rPr>
        <w:t xml:space="preserve">nstances can be harmful to the </w:t>
      </w:r>
      <w:r w:rsidRPr="001F2C47">
        <w:rPr>
          <w:rFonts w:ascii="Arial" w:hAnsi="Arial" w:cs="Arial"/>
          <w:sz w:val="24"/>
          <w:szCs w:val="24"/>
        </w:rPr>
        <w:t>person. Therefore, it is important to respect a person’s chosen name and pronouns.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ED3A23" w:rsidRDefault="001F2C47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D3A23">
        <w:rPr>
          <w:rFonts w:ascii="Arial" w:hAnsi="Arial" w:cs="Arial"/>
          <w:b/>
          <w:color w:val="0070C0"/>
          <w:sz w:val="24"/>
          <w:szCs w:val="24"/>
        </w:rPr>
        <w:t>Gender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Often expressed in terms of masculinity and femininity</w:t>
      </w:r>
      <w:r>
        <w:rPr>
          <w:rFonts w:ascii="Arial" w:hAnsi="Arial" w:cs="Arial"/>
          <w:sz w:val="24"/>
          <w:szCs w:val="24"/>
        </w:rPr>
        <w:t xml:space="preserve">, gender is largely culturally </w:t>
      </w:r>
      <w:r w:rsidRPr="001F2C47">
        <w:rPr>
          <w:rFonts w:ascii="Arial" w:hAnsi="Arial" w:cs="Arial"/>
          <w:sz w:val="24"/>
          <w:szCs w:val="24"/>
        </w:rPr>
        <w:t xml:space="preserve">determined and is assumed from the sex assigned at birth. 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ED3A23" w:rsidRDefault="001F2C47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D3A23">
        <w:rPr>
          <w:rFonts w:ascii="Arial" w:hAnsi="Arial" w:cs="Arial"/>
          <w:b/>
          <w:color w:val="0070C0"/>
          <w:sz w:val="24"/>
          <w:szCs w:val="24"/>
        </w:rPr>
        <w:t>Gender Dysphoria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 xml:space="preserve">Used to describe when a person experiences discomfort </w:t>
      </w:r>
      <w:r>
        <w:rPr>
          <w:rFonts w:ascii="Arial" w:hAnsi="Arial" w:cs="Arial"/>
          <w:sz w:val="24"/>
          <w:szCs w:val="24"/>
        </w:rPr>
        <w:t xml:space="preserve">or distress because there is a </w:t>
      </w:r>
      <w:r w:rsidRPr="001F2C47">
        <w:rPr>
          <w:rFonts w:ascii="Arial" w:hAnsi="Arial" w:cs="Arial"/>
          <w:sz w:val="24"/>
          <w:szCs w:val="24"/>
        </w:rPr>
        <w:t>mismatch between their sex assigned at birth and their gen</w:t>
      </w:r>
      <w:r>
        <w:rPr>
          <w:rFonts w:ascii="Arial" w:hAnsi="Arial" w:cs="Arial"/>
          <w:sz w:val="24"/>
          <w:szCs w:val="24"/>
        </w:rPr>
        <w:t xml:space="preserve">der identity. This is also the </w:t>
      </w:r>
      <w:r w:rsidRPr="001F2C47">
        <w:rPr>
          <w:rFonts w:ascii="Arial" w:hAnsi="Arial" w:cs="Arial"/>
          <w:sz w:val="24"/>
          <w:szCs w:val="24"/>
        </w:rPr>
        <w:t>clinical diagnosis for someone who doesn’t feel comf</w:t>
      </w:r>
      <w:r>
        <w:rPr>
          <w:rFonts w:ascii="Arial" w:hAnsi="Arial" w:cs="Arial"/>
          <w:sz w:val="24"/>
          <w:szCs w:val="24"/>
        </w:rPr>
        <w:t xml:space="preserve">ortable with the sex they were </w:t>
      </w:r>
      <w:r w:rsidRPr="001F2C47">
        <w:rPr>
          <w:rFonts w:ascii="Arial" w:hAnsi="Arial" w:cs="Arial"/>
          <w:sz w:val="24"/>
          <w:szCs w:val="24"/>
        </w:rPr>
        <w:t>assigned at birth.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ED3A23" w:rsidRDefault="001F2C47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D3A23">
        <w:rPr>
          <w:rFonts w:ascii="Arial" w:hAnsi="Arial" w:cs="Arial"/>
          <w:b/>
          <w:color w:val="0070C0"/>
          <w:sz w:val="24"/>
          <w:szCs w:val="24"/>
        </w:rPr>
        <w:t>Gender Expression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How a person chooses to outwardly express their gender.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ED3A23" w:rsidRDefault="001F2C47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ED3A23">
        <w:rPr>
          <w:rFonts w:ascii="Arial" w:hAnsi="Arial" w:cs="Arial"/>
          <w:b/>
          <w:color w:val="0070C0"/>
          <w:sz w:val="24"/>
          <w:szCs w:val="24"/>
        </w:rPr>
        <w:t>Gender Identity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A person’s internal, deeply held sense of their own gender.</w:t>
      </w:r>
      <w:r>
        <w:rPr>
          <w:rFonts w:ascii="Arial" w:hAnsi="Arial" w:cs="Arial"/>
          <w:sz w:val="24"/>
          <w:szCs w:val="24"/>
        </w:rPr>
        <w:t xml:space="preserve"> For many people, their gender </w:t>
      </w:r>
      <w:r w:rsidRPr="001F2C47">
        <w:rPr>
          <w:rFonts w:ascii="Arial" w:hAnsi="Arial" w:cs="Arial"/>
          <w:sz w:val="24"/>
          <w:szCs w:val="24"/>
        </w:rPr>
        <w:t>identity corresponds to the sex they were registered at birth.</w:t>
      </w:r>
      <w:r>
        <w:rPr>
          <w:rFonts w:ascii="Arial" w:hAnsi="Arial" w:cs="Arial"/>
          <w:sz w:val="24"/>
          <w:szCs w:val="24"/>
        </w:rPr>
        <w:t xml:space="preserve"> For others, it does not. Some </w:t>
      </w:r>
      <w:r w:rsidRPr="001F2C47">
        <w:rPr>
          <w:rFonts w:ascii="Arial" w:hAnsi="Arial" w:cs="Arial"/>
          <w:sz w:val="24"/>
          <w:szCs w:val="24"/>
        </w:rPr>
        <w:t xml:space="preserve">people see gender identity as more of a spectrum, rather than a binary. 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2BB0" w:rsidRDefault="00F42BB0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</w:p>
    <w:p w:rsidR="001F2C47" w:rsidRPr="00F42BB0" w:rsidRDefault="001F2C47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F42BB0">
        <w:rPr>
          <w:rFonts w:ascii="Arial" w:hAnsi="Arial" w:cs="Arial"/>
          <w:b/>
          <w:color w:val="0070C0"/>
          <w:sz w:val="24"/>
          <w:szCs w:val="24"/>
        </w:rPr>
        <w:t>Gender Recognition Certificate (GRC)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This enables trans people to be legally recognised in their affirmed gender and to be issued with a new birth certificate. Not all trans people will apply fo</w:t>
      </w:r>
      <w:r>
        <w:rPr>
          <w:rFonts w:ascii="Arial" w:hAnsi="Arial" w:cs="Arial"/>
          <w:sz w:val="24"/>
          <w:szCs w:val="24"/>
        </w:rPr>
        <w:t xml:space="preserve">r a GRC and you currently have </w:t>
      </w:r>
      <w:r w:rsidRPr="001F2C47">
        <w:rPr>
          <w:rFonts w:ascii="Arial" w:hAnsi="Arial" w:cs="Arial"/>
          <w:sz w:val="24"/>
          <w:szCs w:val="24"/>
        </w:rPr>
        <w:t>to be over 18 to apply. The legal basis for creating a Gender Re</w:t>
      </w:r>
      <w:r>
        <w:rPr>
          <w:rFonts w:ascii="Arial" w:hAnsi="Arial" w:cs="Arial"/>
          <w:sz w:val="24"/>
          <w:szCs w:val="24"/>
        </w:rPr>
        <w:t xml:space="preserve">cognition Certificate is found </w:t>
      </w:r>
      <w:r w:rsidRPr="001F2C47">
        <w:rPr>
          <w:rFonts w:ascii="Arial" w:hAnsi="Arial" w:cs="Arial"/>
          <w:sz w:val="24"/>
          <w:szCs w:val="24"/>
        </w:rPr>
        <w:t>in the Gender Recognition Act 2004.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 xml:space="preserve">You do not need a GRC to change your gender markers at </w:t>
      </w:r>
      <w:r>
        <w:rPr>
          <w:rFonts w:ascii="Arial" w:hAnsi="Arial" w:cs="Arial"/>
          <w:sz w:val="24"/>
          <w:szCs w:val="24"/>
        </w:rPr>
        <w:t xml:space="preserve">work or to legally change your </w:t>
      </w:r>
      <w:r w:rsidRPr="001F2C47">
        <w:rPr>
          <w:rFonts w:ascii="Arial" w:hAnsi="Arial" w:cs="Arial"/>
          <w:sz w:val="24"/>
          <w:szCs w:val="24"/>
        </w:rPr>
        <w:t>gender on other documents such as your passport.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F42BB0" w:rsidRDefault="001F2C47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F42BB0">
        <w:rPr>
          <w:rFonts w:ascii="Arial" w:hAnsi="Arial" w:cs="Arial"/>
          <w:b/>
          <w:color w:val="0070C0"/>
          <w:sz w:val="24"/>
          <w:szCs w:val="24"/>
        </w:rPr>
        <w:t>Intersex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A term used to describe a person who may have the biologic</w:t>
      </w:r>
      <w:r>
        <w:rPr>
          <w:rFonts w:ascii="Arial" w:hAnsi="Arial" w:cs="Arial"/>
          <w:sz w:val="24"/>
          <w:szCs w:val="24"/>
        </w:rPr>
        <w:t xml:space="preserve">al attributes of both sexes or </w:t>
      </w:r>
      <w:r w:rsidRPr="001F2C47">
        <w:rPr>
          <w:rFonts w:ascii="Arial" w:hAnsi="Arial" w:cs="Arial"/>
          <w:sz w:val="24"/>
          <w:szCs w:val="24"/>
        </w:rPr>
        <w:t>whose biological attributes do not fit with societal assumptio</w:t>
      </w:r>
      <w:r>
        <w:rPr>
          <w:rFonts w:ascii="Arial" w:hAnsi="Arial" w:cs="Arial"/>
          <w:sz w:val="24"/>
          <w:szCs w:val="24"/>
        </w:rPr>
        <w:t xml:space="preserve">ns about what constitutes male </w:t>
      </w:r>
      <w:r w:rsidRPr="001F2C47">
        <w:rPr>
          <w:rFonts w:ascii="Arial" w:hAnsi="Arial" w:cs="Arial"/>
          <w:sz w:val="24"/>
          <w:szCs w:val="24"/>
        </w:rPr>
        <w:t>or female.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F42BB0" w:rsidRDefault="001F2C47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F42BB0">
        <w:rPr>
          <w:rFonts w:ascii="Arial" w:hAnsi="Arial" w:cs="Arial"/>
          <w:b/>
          <w:color w:val="0070C0"/>
          <w:sz w:val="24"/>
          <w:szCs w:val="24"/>
        </w:rPr>
        <w:t>LGBTQ+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Lesbian, Gay, Bisexual, Trans, Queer. The ‘plus’ is often</w:t>
      </w:r>
      <w:r>
        <w:rPr>
          <w:rFonts w:ascii="Arial" w:hAnsi="Arial" w:cs="Arial"/>
          <w:sz w:val="24"/>
          <w:szCs w:val="24"/>
        </w:rPr>
        <w:t xml:space="preserve"> used to denote the many other </w:t>
      </w:r>
      <w:r w:rsidRPr="001F2C47">
        <w:rPr>
          <w:rFonts w:ascii="Arial" w:hAnsi="Arial" w:cs="Arial"/>
          <w:sz w:val="24"/>
          <w:szCs w:val="24"/>
        </w:rPr>
        <w:t>sexual and gender i</w:t>
      </w:r>
      <w:r>
        <w:rPr>
          <w:rFonts w:ascii="Arial" w:hAnsi="Arial" w:cs="Arial"/>
          <w:sz w:val="24"/>
          <w:szCs w:val="24"/>
        </w:rPr>
        <w:t>dentities that people may have.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F42BB0" w:rsidRDefault="001F2C47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F42BB0">
        <w:rPr>
          <w:rFonts w:ascii="Arial" w:hAnsi="Arial" w:cs="Arial"/>
          <w:b/>
          <w:color w:val="0070C0"/>
          <w:sz w:val="24"/>
          <w:szCs w:val="24"/>
        </w:rPr>
        <w:t>Non-Binary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A term used by people who identify their gender as someth</w:t>
      </w:r>
      <w:r>
        <w:rPr>
          <w:rFonts w:ascii="Arial" w:hAnsi="Arial" w:cs="Arial"/>
          <w:sz w:val="24"/>
          <w:szCs w:val="24"/>
        </w:rPr>
        <w:t xml:space="preserve">ing other than male or female. </w:t>
      </w:r>
      <w:r w:rsidRPr="001F2C47">
        <w:rPr>
          <w:rFonts w:ascii="Arial" w:hAnsi="Arial" w:cs="Arial"/>
          <w:sz w:val="24"/>
          <w:szCs w:val="24"/>
        </w:rPr>
        <w:t>Their gender identity can be stable or fluid over time.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F42BB0" w:rsidRDefault="001F2C47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F42BB0">
        <w:rPr>
          <w:rFonts w:ascii="Arial" w:hAnsi="Arial" w:cs="Arial"/>
          <w:b/>
          <w:color w:val="0070C0"/>
          <w:sz w:val="24"/>
          <w:szCs w:val="24"/>
        </w:rPr>
        <w:t>Pronoun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Words we use to refer to a person, e.g. she/her, he/him, they/them, etc.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F42BB0" w:rsidRDefault="001F2C47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F42BB0">
        <w:rPr>
          <w:rFonts w:ascii="Arial" w:hAnsi="Arial" w:cs="Arial"/>
          <w:b/>
          <w:color w:val="0070C0"/>
          <w:sz w:val="24"/>
          <w:szCs w:val="24"/>
        </w:rPr>
        <w:t>Queer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A term used by those wanting to reject specific labels o</w:t>
      </w:r>
      <w:r>
        <w:rPr>
          <w:rFonts w:ascii="Arial" w:hAnsi="Arial" w:cs="Arial"/>
          <w:sz w:val="24"/>
          <w:szCs w:val="24"/>
        </w:rPr>
        <w:t xml:space="preserve">f romantic orientation, sexual </w:t>
      </w:r>
      <w:r w:rsidRPr="001F2C47">
        <w:rPr>
          <w:rFonts w:ascii="Arial" w:hAnsi="Arial" w:cs="Arial"/>
          <w:sz w:val="24"/>
          <w:szCs w:val="24"/>
        </w:rPr>
        <w:t>orientation and/or gender identity. Although some LGBT peop</w:t>
      </w:r>
      <w:r>
        <w:rPr>
          <w:rFonts w:ascii="Arial" w:hAnsi="Arial" w:cs="Arial"/>
          <w:sz w:val="24"/>
          <w:szCs w:val="24"/>
        </w:rPr>
        <w:t xml:space="preserve">le view the word as a slur, it </w:t>
      </w:r>
      <w:r w:rsidRPr="001F2C47">
        <w:rPr>
          <w:rFonts w:ascii="Arial" w:hAnsi="Arial" w:cs="Arial"/>
          <w:sz w:val="24"/>
          <w:szCs w:val="24"/>
        </w:rPr>
        <w:t>was reclaimed in the late 80s by the queer community who have embraced it.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F42BB0" w:rsidRDefault="001F2C47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F42BB0">
        <w:rPr>
          <w:rFonts w:ascii="Arial" w:hAnsi="Arial" w:cs="Arial"/>
          <w:b/>
          <w:color w:val="0070C0"/>
          <w:sz w:val="24"/>
          <w:szCs w:val="24"/>
        </w:rPr>
        <w:t>Sex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Assigned to a person based on primary sex characteristic</w:t>
      </w:r>
      <w:r>
        <w:rPr>
          <w:rFonts w:ascii="Arial" w:hAnsi="Arial" w:cs="Arial"/>
          <w:sz w:val="24"/>
          <w:szCs w:val="24"/>
        </w:rPr>
        <w:t xml:space="preserve">s (genitalia) and reproductive </w:t>
      </w:r>
      <w:r w:rsidRPr="001F2C47">
        <w:rPr>
          <w:rFonts w:ascii="Arial" w:hAnsi="Arial" w:cs="Arial"/>
          <w:sz w:val="24"/>
          <w:szCs w:val="24"/>
        </w:rPr>
        <w:t>functions.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F42BB0" w:rsidRDefault="001F2C47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F42BB0">
        <w:rPr>
          <w:rFonts w:ascii="Arial" w:hAnsi="Arial" w:cs="Arial"/>
          <w:b/>
          <w:color w:val="0070C0"/>
          <w:sz w:val="24"/>
          <w:szCs w:val="24"/>
        </w:rPr>
        <w:t>Transgender (Trans)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An umbrella term to describe people whose gender is no</w:t>
      </w:r>
      <w:r>
        <w:rPr>
          <w:rFonts w:ascii="Arial" w:hAnsi="Arial" w:cs="Arial"/>
          <w:sz w:val="24"/>
          <w:szCs w:val="24"/>
        </w:rPr>
        <w:t xml:space="preserve">t the same as, or does not sit </w:t>
      </w:r>
      <w:r w:rsidRPr="001F2C47">
        <w:rPr>
          <w:rFonts w:ascii="Arial" w:hAnsi="Arial" w:cs="Arial"/>
          <w:sz w:val="24"/>
          <w:szCs w:val="24"/>
        </w:rPr>
        <w:t>comfortably with, the sex they were assigned at birth.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F42BB0" w:rsidRDefault="001F2C47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F42BB0">
        <w:rPr>
          <w:rFonts w:ascii="Arial" w:hAnsi="Arial" w:cs="Arial"/>
          <w:b/>
          <w:color w:val="0070C0"/>
          <w:sz w:val="24"/>
          <w:szCs w:val="24"/>
        </w:rPr>
        <w:t>Transgender Man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 xml:space="preserve">A term used to describe someone who is assigned female at </w:t>
      </w:r>
      <w:r>
        <w:rPr>
          <w:rFonts w:ascii="Arial" w:hAnsi="Arial" w:cs="Arial"/>
          <w:sz w:val="24"/>
          <w:szCs w:val="24"/>
        </w:rPr>
        <w:t xml:space="preserve">birth but identifies and lives </w:t>
      </w:r>
      <w:r w:rsidRPr="001F2C47">
        <w:rPr>
          <w:rFonts w:ascii="Arial" w:hAnsi="Arial" w:cs="Arial"/>
          <w:sz w:val="24"/>
          <w:szCs w:val="24"/>
        </w:rPr>
        <w:t>as a man. This may be shortened to trans man.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Pr="00F42BB0" w:rsidRDefault="001F2C47" w:rsidP="001F2C47">
      <w:pPr>
        <w:spacing w:after="0" w:line="240" w:lineRule="auto"/>
        <w:rPr>
          <w:rFonts w:ascii="Arial" w:hAnsi="Arial" w:cs="Arial"/>
          <w:b/>
          <w:color w:val="0070C0"/>
          <w:sz w:val="24"/>
          <w:szCs w:val="24"/>
        </w:rPr>
      </w:pPr>
      <w:r w:rsidRPr="00F42BB0">
        <w:rPr>
          <w:rFonts w:ascii="Arial" w:hAnsi="Arial" w:cs="Arial"/>
          <w:b/>
          <w:color w:val="0070C0"/>
          <w:sz w:val="24"/>
          <w:szCs w:val="24"/>
        </w:rPr>
        <w:t>Transgender Woman</w:t>
      </w:r>
    </w:p>
    <w:p w:rsidR="001F2C47" w:rsidRP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A term used to describe someone who is assigned male at bir</w:t>
      </w:r>
      <w:r>
        <w:rPr>
          <w:rFonts w:ascii="Arial" w:hAnsi="Arial" w:cs="Arial"/>
          <w:sz w:val="24"/>
          <w:szCs w:val="24"/>
        </w:rPr>
        <w:t xml:space="preserve">th but identifies and lives as </w:t>
      </w:r>
      <w:r w:rsidRPr="001F2C47">
        <w:rPr>
          <w:rFonts w:ascii="Arial" w:hAnsi="Arial" w:cs="Arial"/>
          <w:sz w:val="24"/>
          <w:szCs w:val="24"/>
        </w:rPr>
        <w:t>a woman. This may be shortened to trans woman.</w:t>
      </w: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1F2C47" w:rsidRDefault="001F2C47" w:rsidP="001F2C47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ED3A23" w:rsidRDefault="001F2C47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1F2C47">
        <w:rPr>
          <w:rFonts w:ascii="Arial" w:hAnsi="Arial" w:cs="Arial"/>
          <w:sz w:val="24"/>
          <w:szCs w:val="24"/>
        </w:rPr>
        <w:t>This guide was developed</w:t>
      </w:r>
      <w:r>
        <w:rPr>
          <w:rFonts w:ascii="Arial" w:hAnsi="Arial" w:cs="Arial"/>
          <w:sz w:val="24"/>
          <w:szCs w:val="24"/>
        </w:rPr>
        <w:t xml:space="preserve"> by </w:t>
      </w:r>
      <w:r w:rsidRPr="001F2C47">
        <w:rPr>
          <w:rFonts w:ascii="Arial" w:hAnsi="Arial" w:cs="Arial"/>
          <w:sz w:val="24"/>
          <w:szCs w:val="24"/>
        </w:rPr>
        <w:t>Solihull Safeguarding Adults Board from materials produced by Sto</w:t>
      </w:r>
      <w:r>
        <w:rPr>
          <w:rFonts w:ascii="Arial" w:hAnsi="Arial" w:cs="Arial"/>
          <w:sz w:val="24"/>
          <w:szCs w:val="24"/>
        </w:rPr>
        <w:t>newall</w:t>
      </w:r>
      <w:r w:rsidR="00ED3A23">
        <w:rPr>
          <w:rFonts w:ascii="Arial" w:hAnsi="Arial" w:cs="Arial"/>
          <w:sz w:val="24"/>
          <w:szCs w:val="24"/>
        </w:rPr>
        <w:t>, and is reproduced with their kind permission.</w:t>
      </w:r>
    </w:p>
    <w:p w:rsidR="001F2C47" w:rsidRPr="001F2C47" w:rsidRDefault="001F2C47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For further </w:t>
      </w:r>
      <w:r w:rsidRPr="001F2C47">
        <w:rPr>
          <w:rFonts w:ascii="Arial" w:hAnsi="Arial" w:cs="Arial"/>
          <w:sz w:val="24"/>
          <w:szCs w:val="24"/>
        </w:rPr>
        <w:t>information and to view a broader list of terminol</w:t>
      </w:r>
      <w:r w:rsidR="00ED3A23">
        <w:rPr>
          <w:rFonts w:ascii="Arial" w:hAnsi="Arial" w:cs="Arial"/>
          <w:sz w:val="24"/>
          <w:szCs w:val="24"/>
        </w:rPr>
        <w:t>ogy please visit the link below.</w:t>
      </w:r>
    </w:p>
    <w:p w:rsidR="005D16A9" w:rsidRDefault="00576225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hyperlink r:id="rId6" w:history="1">
        <w:r w:rsidR="001F2C47" w:rsidRPr="001F2C47">
          <w:rPr>
            <w:rStyle w:val="Hyperlink"/>
            <w:rFonts w:ascii="Arial" w:hAnsi="Arial" w:cs="Arial"/>
            <w:sz w:val="24"/>
            <w:szCs w:val="24"/>
          </w:rPr>
          <w:t>Stonewall list of LGBTQ+ terms</w:t>
        </w:r>
      </w:hyperlink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ED3A2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F42BB0" w:rsidRDefault="00F42BB0" w:rsidP="00F42BB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F42BB0" w:rsidRDefault="00F42BB0" w:rsidP="00F42B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Rochdale Safeguarding Board/Partnership Business Unit</w:t>
      </w:r>
    </w:p>
    <w:p w:rsidR="00F42BB0" w:rsidRDefault="00F42BB0" w:rsidP="00F42B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Fourth Floor,</w:t>
      </w:r>
    </w:p>
    <w:p w:rsidR="00F42BB0" w:rsidRDefault="00F42BB0" w:rsidP="00F42B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Number One Riverside,</w:t>
      </w:r>
    </w:p>
    <w:p w:rsidR="00F42BB0" w:rsidRDefault="00F42BB0" w:rsidP="00F42B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Smith Street,</w:t>
      </w:r>
    </w:p>
    <w:p w:rsidR="00F42BB0" w:rsidRDefault="00F42BB0" w:rsidP="00F42BB0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Rochdale </w:t>
      </w:r>
      <w:r w:rsidRPr="00F42BB0">
        <w:rPr>
          <w:rFonts w:ascii="Arial" w:hAnsi="Arial" w:cs="Arial"/>
          <w:sz w:val="24"/>
          <w:szCs w:val="24"/>
        </w:rPr>
        <w:t>OL16 1XU</w:t>
      </w:r>
    </w:p>
    <w:p w:rsidR="00F42BB0" w:rsidRPr="001F2C47" w:rsidRDefault="00576225" w:rsidP="00F42BB0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7" w:history="1">
        <w:r w:rsidR="00F42BB0" w:rsidRPr="00B44CB0">
          <w:rPr>
            <w:rStyle w:val="Hyperlink"/>
            <w:rFonts w:ascii="Arial" w:hAnsi="Arial" w:cs="Arial"/>
            <w:sz w:val="24"/>
            <w:szCs w:val="24"/>
          </w:rPr>
          <w:t>www.rochdalesafeguarding.com</w:t>
        </w:r>
      </w:hyperlink>
      <w:r w:rsidR="00F42BB0">
        <w:rPr>
          <w:rFonts w:ascii="Arial" w:hAnsi="Arial" w:cs="Arial"/>
          <w:sz w:val="24"/>
          <w:szCs w:val="24"/>
        </w:rPr>
        <w:t xml:space="preserve"> </w:t>
      </w:r>
    </w:p>
    <w:sectPr w:rsidR="00F42BB0" w:rsidRPr="001F2C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C47"/>
    <w:rsid w:val="001F2C47"/>
    <w:rsid w:val="00576225"/>
    <w:rsid w:val="005D16A9"/>
    <w:rsid w:val="00ED3A23"/>
    <w:rsid w:val="00F42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60CCF1-2DD3-4469-8CA1-78F0B52B4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F2C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rochdalesafeguard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stonewall.org.uk/resources/list-lgbtq-terms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701</Words>
  <Characters>3999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Rochdale BC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Travis</dc:creator>
  <cp:keywords/>
  <dc:description/>
  <cp:lastModifiedBy>Carl Travis</cp:lastModifiedBy>
  <cp:revision>2</cp:revision>
  <dcterms:created xsi:type="dcterms:W3CDTF">2025-03-03T12:12:00Z</dcterms:created>
  <dcterms:modified xsi:type="dcterms:W3CDTF">2025-03-03T12:12:00Z</dcterms:modified>
</cp:coreProperties>
</file>