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C02CF" w14:textId="77777777" w:rsidR="00654266" w:rsidRDefault="00B81902" w:rsidP="004B1425">
      <w:pPr>
        <w:spacing w:after="0" w:line="240" w:lineRule="auto"/>
        <w:rPr>
          <w:rFonts w:ascii="Arial" w:hAnsi="Arial" w:cs="Arial"/>
          <w:b/>
          <w:color w:val="00B0F0"/>
          <w:sz w:val="56"/>
          <w:szCs w:val="56"/>
        </w:rPr>
      </w:pPr>
      <w:r w:rsidRPr="00B81902">
        <w:rPr>
          <w:rFonts w:ascii="Arial" w:hAnsi="Arial" w:cs="Arial"/>
          <w:b/>
          <w:noProof/>
          <w:color w:val="00B0F0"/>
          <w:sz w:val="56"/>
          <w:szCs w:val="56"/>
          <w:lang w:eastAsia="en-GB"/>
        </w:rPr>
        <w:drawing>
          <wp:anchor distT="0" distB="0" distL="114300" distR="114300" simplePos="0" relativeHeight="251658240" behindDoc="1" locked="0" layoutInCell="1" allowOverlap="1" wp14:anchorId="5A47BCE5" wp14:editId="0D2686EB">
            <wp:simplePos x="0" y="0"/>
            <wp:positionH relativeFrom="column">
              <wp:posOffset>4593590</wp:posOffset>
            </wp:positionH>
            <wp:positionV relativeFrom="paragraph">
              <wp:posOffset>-600075</wp:posOffset>
            </wp:positionV>
            <wp:extent cx="1692275" cy="781050"/>
            <wp:effectExtent l="0" t="0" r="3175" b="0"/>
            <wp:wrapThrough wrapText="bothSides">
              <wp:wrapPolygon edited="0">
                <wp:start x="0" y="0"/>
                <wp:lineTo x="0" y="21073"/>
                <wp:lineTo x="21397" y="21073"/>
                <wp:lineTo x="213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2275" cy="781050"/>
                    </a:xfrm>
                    <a:prstGeom prst="rect">
                      <a:avLst/>
                    </a:prstGeom>
                  </pic:spPr>
                </pic:pic>
              </a:graphicData>
            </a:graphic>
            <wp14:sizeRelH relativeFrom="page">
              <wp14:pctWidth>0</wp14:pctWidth>
            </wp14:sizeRelH>
            <wp14:sizeRelV relativeFrom="page">
              <wp14:pctHeight>0</wp14:pctHeight>
            </wp14:sizeRelV>
          </wp:anchor>
        </w:drawing>
      </w:r>
    </w:p>
    <w:p w14:paraId="2A6F3A2A" w14:textId="77777777" w:rsidR="00654266" w:rsidRDefault="00654266" w:rsidP="004B1425">
      <w:pPr>
        <w:spacing w:after="0" w:line="240" w:lineRule="auto"/>
        <w:rPr>
          <w:rFonts w:ascii="Arial" w:hAnsi="Arial" w:cs="Arial"/>
          <w:b/>
          <w:color w:val="00B0F0"/>
          <w:sz w:val="56"/>
          <w:szCs w:val="56"/>
        </w:rPr>
      </w:pPr>
    </w:p>
    <w:p w14:paraId="7E08677C" w14:textId="77777777" w:rsidR="00654266" w:rsidRDefault="00654266" w:rsidP="004B1425">
      <w:pPr>
        <w:spacing w:after="0" w:line="240" w:lineRule="auto"/>
        <w:rPr>
          <w:rFonts w:ascii="Arial" w:hAnsi="Arial" w:cs="Arial"/>
          <w:b/>
          <w:color w:val="00B0F0"/>
          <w:sz w:val="56"/>
          <w:szCs w:val="56"/>
        </w:rPr>
      </w:pPr>
    </w:p>
    <w:p w14:paraId="241E2DEE" w14:textId="77777777" w:rsidR="00654266" w:rsidRDefault="00654266" w:rsidP="004B1425">
      <w:pPr>
        <w:spacing w:after="0" w:line="240" w:lineRule="auto"/>
        <w:rPr>
          <w:rFonts w:ascii="Arial" w:hAnsi="Arial" w:cs="Arial"/>
          <w:b/>
          <w:color w:val="00B0F0"/>
          <w:sz w:val="56"/>
          <w:szCs w:val="56"/>
        </w:rPr>
      </w:pPr>
    </w:p>
    <w:p w14:paraId="6509C6D7" w14:textId="77777777" w:rsidR="00654266" w:rsidRDefault="00654266" w:rsidP="004B1425">
      <w:pPr>
        <w:spacing w:after="0" w:line="240" w:lineRule="auto"/>
        <w:rPr>
          <w:rFonts w:ascii="Arial" w:hAnsi="Arial" w:cs="Arial"/>
          <w:b/>
          <w:color w:val="00B0F0"/>
          <w:sz w:val="56"/>
          <w:szCs w:val="56"/>
        </w:rPr>
      </w:pPr>
    </w:p>
    <w:p w14:paraId="759F62A7" w14:textId="77777777" w:rsidR="00654266" w:rsidRDefault="00654266" w:rsidP="004B1425">
      <w:pPr>
        <w:spacing w:after="0" w:line="240" w:lineRule="auto"/>
        <w:rPr>
          <w:rFonts w:ascii="Arial" w:hAnsi="Arial" w:cs="Arial"/>
          <w:b/>
          <w:color w:val="00B0F0"/>
          <w:sz w:val="56"/>
          <w:szCs w:val="56"/>
        </w:rPr>
      </w:pPr>
    </w:p>
    <w:p w14:paraId="417CF008" w14:textId="77777777" w:rsidR="00654266" w:rsidRDefault="00654266" w:rsidP="004B1425">
      <w:pPr>
        <w:spacing w:after="0" w:line="240" w:lineRule="auto"/>
        <w:rPr>
          <w:rFonts w:ascii="Arial" w:hAnsi="Arial" w:cs="Arial"/>
          <w:b/>
          <w:color w:val="00B0F0"/>
          <w:sz w:val="56"/>
          <w:szCs w:val="56"/>
        </w:rPr>
      </w:pPr>
    </w:p>
    <w:p w14:paraId="3BB64FAF" w14:textId="77777777" w:rsidR="00654266" w:rsidRDefault="00654266" w:rsidP="004B1425">
      <w:pPr>
        <w:spacing w:after="0" w:line="240" w:lineRule="auto"/>
        <w:rPr>
          <w:rFonts w:ascii="Arial" w:hAnsi="Arial" w:cs="Arial"/>
          <w:b/>
          <w:color w:val="00B0F0"/>
          <w:sz w:val="56"/>
          <w:szCs w:val="56"/>
        </w:rPr>
      </w:pPr>
    </w:p>
    <w:p w14:paraId="5AA8685F" w14:textId="711131F4" w:rsidR="009F01DB" w:rsidRPr="00B81902" w:rsidRDefault="000E4952" w:rsidP="004B1425">
      <w:pPr>
        <w:spacing w:after="0" w:line="240" w:lineRule="auto"/>
        <w:rPr>
          <w:rFonts w:ascii="Arial" w:hAnsi="Arial" w:cs="Arial"/>
          <w:b/>
          <w:color w:val="00B0F0"/>
          <w:sz w:val="56"/>
          <w:szCs w:val="56"/>
        </w:rPr>
      </w:pPr>
      <w:r w:rsidRPr="00B81902">
        <w:rPr>
          <w:rFonts w:ascii="Arial" w:hAnsi="Arial" w:cs="Arial"/>
          <w:b/>
          <w:color w:val="00B0F0"/>
          <w:sz w:val="56"/>
          <w:szCs w:val="56"/>
        </w:rPr>
        <w:t>Leg</w:t>
      </w:r>
      <w:r w:rsidR="002A6B58">
        <w:rPr>
          <w:rFonts w:ascii="Arial" w:hAnsi="Arial" w:cs="Arial"/>
          <w:b/>
          <w:color w:val="00B0F0"/>
          <w:sz w:val="56"/>
          <w:szCs w:val="56"/>
        </w:rPr>
        <w:t>islation</w:t>
      </w:r>
    </w:p>
    <w:p w14:paraId="09B8E5C6" w14:textId="77777777" w:rsidR="000E4952" w:rsidRDefault="000E4952" w:rsidP="009F01DB">
      <w:pPr>
        <w:spacing w:after="0" w:line="240" w:lineRule="auto"/>
        <w:rPr>
          <w:rFonts w:ascii="Arial" w:hAnsi="Arial" w:cs="Arial"/>
          <w:b/>
          <w:color w:val="00B0F0"/>
          <w:sz w:val="32"/>
          <w:szCs w:val="32"/>
        </w:rPr>
      </w:pPr>
    </w:p>
    <w:p w14:paraId="15538791" w14:textId="77777777" w:rsidR="000E4952" w:rsidRDefault="000E4952" w:rsidP="009F01DB">
      <w:pPr>
        <w:spacing w:after="0" w:line="240" w:lineRule="auto"/>
        <w:rPr>
          <w:rFonts w:ascii="Arial" w:hAnsi="Arial" w:cs="Arial"/>
          <w:b/>
          <w:color w:val="00B0F0"/>
          <w:sz w:val="32"/>
          <w:szCs w:val="32"/>
        </w:rPr>
      </w:pPr>
    </w:p>
    <w:p w14:paraId="2D7E45E0" w14:textId="77777777" w:rsidR="00654266" w:rsidRDefault="00654266" w:rsidP="009F01DB">
      <w:pPr>
        <w:spacing w:after="0" w:line="240" w:lineRule="auto"/>
        <w:rPr>
          <w:rFonts w:ascii="Arial" w:hAnsi="Arial" w:cs="Arial"/>
          <w:b/>
          <w:color w:val="00B0F0"/>
          <w:sz w:val="28"/>
          <w:szCs w:val="28"/>
        </w:rPr>
      </w:pPr>
    </w:p>
    <w:p w14:paraId="48D273B5" w14:textId="77777777" w:rsidR="00654266" w:rsidRDefault="00654266" w:rsidP="009F01DB">
      <w:pPr>
        <w:spacing w:after="0" w:line="240" w:lineRule="auto"/>
        <w:rPr>
          <w:rFonts w:ascii="Arial" w:hAnsi="Arial" w:cs="Arial"/>
          <w:b/>
          <w:color w:val="00B0F0"/>
          <w:sz w:val="28"/>
          <w:szCs w:val="28"/>
        </w:rPr>
      </w:pPr>
    </w:p>
    <w:p w14:paraId="40945AF6" w14:textId="77777777" w:rsidR="00654266" w:rsidRDefault="00654266" w:rsidP="009F01DB">
      <w:pPr>
        <w:spacing w:after="0" w:line="240" w:lineRule="auto"/>
        <w:rPr>
          <w:rFonts w:ascii="Arial" w:hAnsi="Arial" w:cs="Arial"/>
          <w:b/>
          <w:color w:val="00B0F0"/>
          <w:sz w:val="28"/>
          <w:szCs w:val="28"/>
        </w:rPr>
      </w:pPr>
    </w:p>
    <w:p w14:paraId="3C8BBB53" w14:textId="77777777" w:rsidR="00654266" w:rsidRDefault="00654266" w:rsidP="009F01DB">
      <w:pPr>
        <w:spacing w:after="0" w:line="240" w:lineRule="auto"/>
        <w:rPr>
          <w:rFonts w:ascii="Arial" w:hAnsi="Arial" w:cs="Arial"/>
          <w:b/>
          <w:color w:val="00B0F0"/>
          <w:sz w:val="28"/>
          <w:szCs w:val="28"/>
        </w:rPr>
      </w:pPr>
    </w:p>
    <w:p w14:paraId="6C92B338" w14:textId="77777777" w:rsidR="00654266" w:rsidRDefault="00654266" w:rsidP="009F01DB">
      <w:pPr>
        <w:spacing w:after="0" w:line="240" w:lineRule="auto"/>
        <w:rPr>
          <w:rFonts w:ascii="Arial" w:hAnsi="Arial" w:cs="Arial"/>
          <w:b/>
          <w:color w:val="00B0F0"/>
          <w:sz w:val="28"/>
          <w:szCs w:val="28"/>
        </w:rPr>
      </w:pPr>
    </w:p>
    <w:p w14:paraId="35A5132E" w14:textId="77777777" w:rsidR="00654266" w:rsidRDefault="00654266" w:rsidP="009F01DB">
      <w:pPr>
        <w:spacing w:after="0" w:line="240" w:lineRule="auto"/>
        <w:rPr>
          <w:rFonts w:ascii="Arial" w:hAnsi="Arial" w:cs="Arial"/>
          <w:b/>
          <w:color w:val="00B0F0"/>
          <w:sz w:val="28"/>
          <w:szCs w:val="28"/>
        </w:rPr>
      </w:pPr>
    </w:p>
    <w:p w14:paraId="0A61412F" w14:textId="77777777" w:rsidR="00654266" w:rsidRDefault="00654266" w:rsidP="009F01DB">
      <w:pPr>
        <w:spacing w:after="0" w:line="240" w:lineRule="auto"/>
        <w:rPr>
          <w:rFonts w:ascii="Arial" w:hAnsi="Arial" w:cs="Arial"/>
          <w:b/>
          <w:color w:val="00B0F0"/>
          <w:sz w:val="28"/>
          <w:szCs w:val="28"/>
        </w:rPr>
      </w:pPr>
    </w:p>
    <w:p w14:paraId="5051339D" w14:textId="77777777" w:rsidR="00654266" w:rsidRDefault="00654266" w:rsidP="009F01DB">
      <w:pPr>
        <w:spacing w:after="0" w:line="240" w:lineRule="auto"/>
        <w:rPr>
          <w:rFonts w:ascii="Arial" w:hAnsi="Arial" w:cs="Arial"/>
          <w:b/>
          <w:color w:val="00B0F0"/>
          <w:sz w:val="28"/>
          <w:szCs w:val="28"/>
        </w:rPr>
      </w:pPr>
    </w:p>
    <w:p w14:paraId="6B5B4193" w14:textId="77777777" w:rsidR="00654266" w:rsidRDefault="00654266" w:rsidP="009F01DB">
      <w:pPr>
        <w:spacing w:after="0" w:line="240" w:lineRule="auto"/>
        <w:rPr>
          <w:rFonts w:ascii="Arial" w:hAnsi="Arial" w:cs="Arial"/>
          <w:b/>
          <w:color w:val="00B0F0"/>
          <w:sz w:val="28"/>
          <w:szCs w:val="28"/>
        </w:rPr>
      </w:pPr>
    </w:p>
    <w:p w14:paraId="4DFE7482" w14:textId="77777777" w:rsidR="00654266" w:rsidRDefault="00654266" w:rsidP="009F01DB">
      <w:pPr>
        <w:spacing w:after="0" w:line="240" w:lineRule="auto"/>
        <w:rPr>
          <w:rFonts w:ascii="Arial" w:hAnsi="Arial" w:cs="Arial"/>
          <w:b/>
          <w:color w:val="00B0F0"/>
          <w:sz w:val="28"/>
          <w:szCs w:val="28"/>
        </w:rPr>
      </w:pPr>
    </w:p>
    <w:p w14:paraId="66077C49" w14:textId="77777777" w:rsidR="00654266" w:rsidRDefault="00654266" w:rsidP="009F01DB">
      <w:pPr>
        <w:spacing w:after="0" w:line="240" w:lineRule="auto"/>
        <w:rPr>
          <w:rFonts w:ascii="Arial" w:hAnsi="Arial" w:cs="Arial"/>
          <w:b/>
          <w:color w:val="00B0F0"/>
          <w:sz w:val="28"/>
          <w:szCs w:val="28"/>
        </w:rPr>
      </w:pPr>
    </w:p>
    <w:p w14:paraId="25ED0222" w14:textId="77777777" w:rsidR="00654266" w:rsidRDefault="00654266" w:rsidP="009F01DB">
      <w:pPr>
        <w:spacing w:after="0" w:line="240" w:lineRule="auto"/>
        <w:rPr>
          <w:rFonts w:ascii="Arial" w:hAnsi="Arial" w:cs="Arial"/>
          <w:b/>
          <w:color w:val="00B0F0"/>
          <w:sz w:val="28"/>
          <w:szCs w:val="28"/>
        </w:rPr>
      </w:pPr>
    </w:p>
    <w:p w14:paraId="56417192" w14:textId="77777777" w:rsidR="00654266" w:rsidRDefault="00654266" w:rsidP="009F01DB">
      <w:pPr>
        <w:spacing w:after="0" w:line="240" w:lineRule="auto"/>
        <w:rPr>
          <w:rFonts w:ascii="Arial" w:hAnsi="Arial" w:cs="Arial"/>
          <w:b/>
          <w:color w:val="00B0F0"/>
          <w:sz w:val="28"/>
          <w:szCs w:val="28"/>
        </w:rPr>
      </w:pPr>
    </w:p>
    <w:p w14:paraId="7AC60B69" w14:textId="77777777" w:rsidR="00654266" w:rsidRDefault="00654266" w:rsidP="009F01DB">
      <w:pPr>
        <w:spacing w:after="0" w:line="240" w:lineRule="auto"/>
        <w:rPr>
          <w:rFonts w:ascii="Arial" w:hAnsi="Arial" w:cs="Arial"/>
          <w:b/>
          <w:color w:val="00B0F0"/>
          <w:sz w:val="28"/>
          <w:szCs w:val="28"/>
        </w:rPr>
      </w:pPr>
    </w:p>
    <w:p w14:paraId="08B13B6D" w14:textId="77777777" w:rsidR="00654266" w:rsidRDefault="00654266" w:rsidP="009F01DB">
      <w:pPr>
        <w:spacing w:after="0" w:line="240" w:lineRule="auto"/>
        <w:rPr>
          <w:rFonts w:ascii="Arial" w:hAnsi="Arial" w:cs="Arial"/>
          <w:b/>
          <w:color w:val="00B0F0"/>
          <w:sz w:val="28"/>
          <w:szCs w:val="28"/>
        </w:rPr>
      </w:pPr>
    </w:p>
    <w:p w14:paraId="740FE96D" w14:textId="77777777" w:rsidR="00654266" w:rsidRDefault="00654266" w:rsidP="009F01DB">
      <w:pPr>
        <w:spacing w:after="0" w:line="240" w:lineRule="auto"/>
        <w:rPr>
          <w:rFonts w:ascii="Arial" w:hAnsi="Arial" w:cs="Arial"/>
          <w:b/>
          <w:color w:val="00B0F0"/>
          <w:sz w:val="28"/>
          <w:szCs w:val="28"/>
        </w:rPr>
      </w:pPr>
    </w:p>
    <w:p w14:paraId="041FD13B" w14:textId="77777777" w:rsidR="00654266" w:rsidRDefault="00654266" w:rsidP="009F01DB">
      <w:pPr>
        <w:spacing w:after="0" w:line="240" w:lineRule="auto"/>
        <w:rPr>
          <w:rFonts w:ascii="Arial" w:hAnsi="Arial" w:cs="Arial"/>
          <w:b/>
          <w:color w:val="00B0F0"/>
          <w:sz w:val="28"/>
          <w:szCs w:val="28"/>
        </w:rPr>
      </w:pPr>
    </w:p>
    <w:p w14:paraId="3390C2B3" w14:textId="77777777" w:rsidR="00654266" w:rsidRPr="00654266" w:rsidRDefault="00654266" w:rsidP="00654266">
      <w:pPr>
        <w:spacing w:after="0" w:line="240" w:lineRule="auto"/>
        <w:rPr>
          <w:rFonts w:ascii="Arial" w:hAnsi="Arial" w:cs="Arial"/>
          <w:bCs/>
          <w:sz w:val="28"/>
          <w:szCs w:val="28"/>
        </w:rPr>
      </w:pPr>
      <w:r w:rsidRPr="00654266">
        <w:rPr>
          <w:rFonts w:ascii="Arial" w:hAnsi="Arial" w:cs="Arial"/>
          <w:bCs/>
          <w:sz w:val="28"/>
          <w:szCs w:val="28"/>
        </w:rPr>
        <w:t>Reviewed: September 2025</w:t>
      </w:r>
    </w:p>
    <w:p w14:paraId="4AE4388E" w14:textId="79999A0F" w:rsidR="00654266" w:rsidRPr="00654266" w:rsidRDefault="00654266" w:rsidP="00654266">
      <w:pPr>
        <w:spacing w:after="0" w:line="240" w:lineRule="auto"/>
        <w:rPr>
          <w:rFonts w:ascii="Arial" w:hAnsi="Arial" w:cs="Arial"/>
          <w:bCs/>
          <w:sz w:val="28"/>
          <w:szCs w:val="28"/>
        </w:rPr>
      </w:pPr>
      <w:r w:rsidRPr="00654266">
        <w:rPr>
          <w:rFonts w:ascii="Arial" w:hAnsi="Arial" w:cs="Arial"/>
          <w:bCs/>
          <w:sz w:val="28"/>
          <w:szCs w:val="28"/>
        </w:rPr>
        <w:t>Review date: September 202</w:t>
      </w:r>
      <w:r w:rsidR="001B4AEF">
        <w:rPr>
          <w:rFonts w:ascii="Arial" w:hAnsi="Arial" w:cs="Arial"/>
          <w:bCs/>
          <w:sz w:val="28"/>
          <w:szCs w:val="28"/>
        </w:rPr>
        <w:t>7</w:t>
      </w:r>
    </w:p>
    <w:p w14:paraId="179E170B" w14:textId="77777777" w:rsidR="00654266" w:rsidRDefault="00654266" w:rsidP="009F01DB">
      <w:pPr>
        <w:spacing w:after="0" w:line="240" w:lineRule="auto"/>
        <w:rPr>
          <w:rFonts w:ascii="Arial" w:hAnsi="Arial" w:cs="Arial"/>
          <w:b/>
          <w:color w:val="00B0F0"/>
          <w:sz w:val="28"/>
          <w:szCs w:val="28"/>
        </w:rPr>
      </w:pPr>
    </w:p>
    <w:p w14:paraId="3CB05148" w14:textId="77777777" w:rsidR="00654266" w:rsidRDefault="00654266" w:rsidP="009F01DB">
      <w:pPr>
        <w:spacing w:after="0" w:line="240" w:lineRule="auto"/>
        <w:rPr>
          <w:rFonts w:ascii="Arial" w:hAnsi="Arial" w:cs="Arial"/>
          <w:b/>
          <w:color w:val="00B0F0"/>
          <w:sz w:val="28"/>
          <w:szCs w:val="28"/>
        </w:rPr>
      </w:pPr>
    </w:p>
    <w:p w14:paraId="408486B7" w14:textId="532B13EB" w:rsidR="009F01DB" w:rsidRPr="001C73BE" w:rsidRDefault="00212C72" w:rsidP="009F01DB">
      <w:pPr>
        <w:spacing w:after="0" w:line="240" w:lineRule="auto"/>
        <w:rPr>
          <w:rFonts w:ascii="Arial" w:hAnsi="Arial" w:cs="Arial"/>
          <w:b/>
          <w:color w:val="00B0F0"/>
          <w:sz w:val="28"/>
          <w:szCs w:val="28"/>
        </w:rPr>
      </w:pPr>
      <w:r>
        <w:rPr>
          <w:rFonts w:ascii="Arial" w:hAnsi="Arial" w:cs="Arial"/>
          <w:b/>
          <w:color w:val="00B0F0"/>
          <w:sz w:val="28"/>
          <w:szCs w:val="28"/>
        </w:rPr>
        <w:lastRenderedPageBreak/>
        <w:t>5.1</w:t>
      </w:r>
      <w:r>
        <w:rPr>
          <w:rFonts w:ascii="Arial" w:hAnsi="Arial" w:cs="Arial"/>
          <w:b/>
          <w:color w:val="00B0F0"/>
          <w:sz w:val="28"/>
          <w:szCs w:val="28"/>
        </w:rPr>
        <w:tab/>
      </w:r>
      <w:r w:rsidR="009F01DB" w:rsidRPr="005B4CE0">
        <w:rPr>
          <w:rFonts w:ascii="Arial" w:hAnsi="Arial" w:cs="Arial"/>
          <w:b/>
          <w:color w:val="00B0F0"/>
          <w:sz w:val="28"/>
          <w:szCs w:val="28"/>
        </w:rPr>
        <w:t>Legal Powers to Intervene</w:t>
      </w:r>
      <w:r w:rsidR="009F01DB" w:rsidRPr="001C73BE">
        <w:rPr>
          <w:rFonts w:ascii="Arial" w:hAnsi="Arial" w:cs="Arial"/>
          <w:b/>
          <w:color w:val="00B0F0"/>
          <w:sz w:val="28"/>
          <w:szCs w:val="28"/>
        </w:rPr>
        <w:t xml:space="preserve"> </w:t>
      </w:r>
    </w:p>
    <w:p w14:paraId="3730E76F" w14:textId="77777777" w:rsidR="000E4952" w:rsidRDefault="000E4952" w:rsidP="009F01DB">
      <w:pPr>
        <w:spacing w:after="0" w:line="240" w:lineRule="auto"/>
        <w:rPr>
          <w:rFonts w:ascii="Arial" w:hAnsi="Arial" w:cs="Arial"/>
          <w:b/>
          <w:u w:val="single"/>
        </w:rPr>
      </w:pPr>
    </w:p>
    <w:p w14:paraId="6A2B55B4" w14:textId="77777777" w:rsidR="000E4952" w:rsidRDefault="002C14AB" w:rsidP="001C73BE">
      <w:pPr>
        <w:spacing w:after="0" w:line="240" w:lineRule="auto"/>
        <w:rPr>
          <w:rFonts w:ascii="Arial" w:hAnsi="Arial" w:cs="Arial"/>
          <w:b/>
          <w:color w:val="00B0F0"/>
          <w:sz w:val="24"/>
          <w:szCs w:val="24"/>
        </w:rPr>
      </w:pPr>
      <w:r w:rsidRPr="007C6696">
        <w:rPr>
          <w:rFonts w:ascii="Arial" w:hAnsi="Arial" w:cs="Arial"/>
          <w:b/>
          <w:color w:val="00B0F0"/>
          <w:sz w:val="24"/>
          <w:szCs w:val="24"/>
        </w:rPr>
        <w:t>5.1.1</w:t>
      </w:r>
      <w:r w:rsidRPr="007C6696">
        <w:rPr>
          <w:rFonts w:ascii="Arial" w:hAnsi="Arial" w:cs="Arial"/>
          <w:b/>
          <w:color w:val="00B0F0"/>
          <w:sz w:val="24"/>
          <w:szCs w:val="24"/>
        </w:rPr>
        <w:tab/>
      </w:r>
      <w:r w:rsidR="000E4952" w:rsidRPr="007C6696">
        <w:rPr>
          <w:rFonts w:ascii="Arial" w:hAnsi="Arial" w:cs="Arial"/>
          <w:b/>
          <w:color w:val="00B0F0"/>
          <w:sz w:val="24"/>
          <w:szCs w:val="24"/>
        </w:rPr>
        <w:t>All forms of abuse</w:t>
      </w:r>
    </w:p>
    <w:p w14:paraId="50C8102D" w14:textId="6AAB2965" w:rsidR="005B4CE0" w:rsidRDefault="005B4CE0" w:rsidP="001C73BE">
      <w:pPr>
        <w:spacing w:after="0" w:line="240" w:lineRule="auto"/>
        <w:rPr>
          <w:rFonts w:ascii="Arial" w:hAnsi="Arial" w:cs="Arial"/>
          <w:sz w:val="24"/>
          <w:szCs w:val="24"/>
        </w:rPr>
      </w:pPr>
    </w:p>
    <w:p w14:paraId="26216903" w14:textId="77777777" w:rsidR="005B4CE0" w:rsidRPr="00CF6707" w:rsidRDefault="005B4CE0" w:rsidP="001C73BE">
      <w:pPr>
        <w:spacing w:after="0" w:line="240" w:lineRule="auto"/>
        <w:rPr>
          <w:rFonts w:ascii="Arial" w:hAnsi="Arial" w:cs="Arial"/>
          <w:sz w:val="24"/>
          <w:szCs w:val="24"/>
        </w:rPr>
      </w:pPr>
      <w:r w:rsidRPr="00CF6707">
        <w:rPr>
          <w:rFonts w:ascii="Arial" w:hAnsi="Arial" w:cs="Arial"/>
          <w:sz w:val="24"/>
          <w:szCs w:val="24"/>
        </w:rPr>
        <w:t>There are reporting requirements under legislation for:</w:t>
      </w:r>
    </w:p>
    <w:p w14:paraId="6AC669AF" w14:textId="77777777" w:rsidR="005B4CE0" w:rsidRPr="00CF6707" w:rsidRDefault="005B4CE0" w:rsidP="005B4CE0">
      <w:pPr>
        <w:pStyle w:val="ListParagraph"/>
        <w:numPr>
          <w:ilvl w:val="0"/>
          <w:numId w:val="16"/>
        </w:numPr>
        <w:spacing w:after="0" w:line="240" w:lineRule="auto"/>
        <w:rPr>
          <w:rFonts w:ascii="Arial" w:hAnsi="Arial" w:cs="Arial"/>
          <w:sz w:val="24"/>
          <w:szCs w:val="24"/>
        </w:rPr>
      </w:pPr>
      <w:r w:rsidRPr="00CF6707">
        <w:rPr>
          <w:rFonts w:ascii="Arial" w:hAnsi="Arial" w:cs="Arial"/>
          <w:sz w:val="24"/>
          <w:szCs w:val="24"/>
        </w:rPr>
        <w:t>Modern Slavery</w:t>
      </w:r>
    </w:p>
    <w:p w14:paraId="58D1575C" w14:textId="77777777" w:rsidR="005B4CE0" w:rsidRPr="00CF6707" w:rsidRDefault="005B4CE0" w:rsidP="005B4CE0">
      <w:pPr>
        <w:pStyle w:val="ListParagraph"/>
        <w:numPr>
          <w:ilvl w:val="0"/>
          <w:numId w:val="16"/>
        </w:numPr>
        <w:spacing w:after="0" w:line="240" w:lineRule="auto"/>
        <w:rPr>
          <w:rFonts w:ascii="Arial" w:hAnsi="Arial" w:cs="Arial"/>
          <w:sz w:val="24"/>
          <w:szCs w:val="24"/>
        </w:rPr>
      </w:pPr>
      <w:r w:rsidRPr="00CF6707">
        <w:rPr>
          <w:rFonts w:ascii="Arial" w:hAnsi="Arial" w:cs="Arial"/>
          <w:sz w:val="24"/>
          <w:szCs w:val="24"/>
        </w:rPr>
        <w:t>FGM</w:t>
      </w:r>
    </w:p>
    <w:p w14:paraId="387EBB10" w14:textId="41368531" w:rsidR="00AD6307" w:rsidRPr="00AD6307" w:rsidRDefault="005B4CE0" w:rsidP="00AD6307">
      <w:pPr>
        <w:pStyle w:val="ListParagraph"/>
        <w:numPr>
          <w:ilvl w:val="0"/>
          <w:numId w:val="16"/>
        </w:numPr>
        <w:spacing w:after="0" w:line="240" w:lineRule="auto"/>
        <w:rPr>
          <w:rFonts w:ascii="Arial" w:hAnsi="Arial" w:cs="Arial"/>
          <w:sz w:val="24"/>
          <w:szCs w:val="24"/>
        </w:rPr>
      </w:pPr>
      <w:r w:rsidRPr="00CF6707">
        <w:rPr>
          <w:rFonts w:ascii="Arial" w:hAnsi="Arial" w:cs="Arial"/>
          <w:sz w:val="24"/>
          <w:szCs w:val="24"/>
        </w:rPr>
        <w:t>Prevent</w:t>
      </w:r>
    </w:p>
    <w:p w14:paraId="196EEEF2" w14:textId="77777777" w:rsidR="005B4CE0" w:rsidRPr="00CF6707" w:rsidRDefault="005B4CE0" w:rsidP="001C73BE">
      <w:pPr>
        <w:spacing w:after="0" w:line="240" w:lineRule="auto"/>
        <w:rPr>
          <w:rFonts w:ascii="Arial" w:hAnsi="Arial" w:cs="Arial"/>
          <w:sz w:val="24"/>
          <w:szCs w:val="24"/>
        </w:rPr>
      </w:pPr>
    </w:p>
    <w:p w14:paraId="4FD18990" w14:textId="4042D8BA" w:rsidR="005B4CE0" w:rsidRPr="001C73BE" w:rsidRDefault="005B4CE0" w:rsidP="001C73BE">
      <w:pPr>
        <w:spacing w:after="0" w:line="240" w:lineRule="auto"/>
        <w:rPr>
          <w:rFonts w:ascii="Arial" w:hAnsi="Arial" w:cs="Arial"/>
          <w:sz w:val="24"/>
          <w:szCs w:val="24"/>
        </w:rPr>
      </w:pPr>
      <w:r w:rsidRPr="00CF6707">
        <w:rPr>
          <w:rFonts w:ascii="Arial" w:hAnsi="Arial" w:cs="Arial"/>
          <w:sz w:val="24"/>
          <w:szCs w:val="24"/>
        </w:rPr>
        <w:t xml:space="preserve">Further details can be found on the </w:t>
      </w:r>
      <w:hyperlink r:id="rId8" w:history="1">
        <w:r w:rsidR="00751065" w:rsidRPr="002008BA">
          <w:rPr>
            <w:rStyle w:val="Hyperlink"/>
            <w:sz w:val="24"/>
            <w:szCs w:val="24"/>
          </w:rPr>
          <w:t>www.rochdalesafeguarding.com</w:t>
        </w:r>
      </w:hyperlink>
      <w:r w:rsidR="00751065">
        <w:rPr>
          <w:rFonts w:ascii="Arial" w:hAnsi="Arial" w:cs="Arial"/>
          <w:bCs/>
          <w:sz w:val="24"/>
          <w:szCs w:val="24"/>
        </w:rPr>
        <w:t xml:space="preserve"> </w:t>
      </w:r>
      <w:r w:rsidRPr="00CF6707">
        <w:rPr>
          <w:rFonts w:ascii="Arial" w:hAnsi="Arial" w:cs="Arial"/>
          <w:sz w:val="24"/>
          <w:szCs w:val="24"/>
        </w:rPr>
        <w:t>website</w:t>
      </w:r>
    </w:p>
    <w:p w14:paraId="34973660" w14:textId="77777777" w:rsidR="001C73BE" w:rsidRDefault="001C73BE" w:rsidP="001C73BE">
      <w:pPr>
        <w:spacing w:after="0" w:line="240" w:lineRule="auto"/>
        <w:rPr>
          <w:rFonts w:ascii="Arial" w:hAnsi="Arial" w:cs="Arial"/>
          <w:b/>
          <w:sz w:val="24"/>
          <w:szCs w:val="24"/>
          <w:u w:val="single"/>
        </w:rPr>
      </w:pPr>
    </w:p>
    <w:p w14:paraId="280DCB48" w14:textId="77777777" w:rsidR="005B4CE0" w:rsidRDefault="005B4CE0" w:rsidP="001C73BE">
      <w:pPr>
        <w:spacing w:after="0" w:line="240" w:lineRule="auto"/>
        <w:rPr>
          <w:rFonts w:ascii="Arial" w:hAnsi="Arial" w:cs="Arial"/>
          <w:b/>
          <w:sz w:val="24"/>
          <w:szCs w:val="24"/>
          <w:u w:val="single"/>
        </w:rPr>
      </w:pPr>
    </w:p>
    <w:p w14:paraId="343C4ACB" w14:textId="77777777" w:rsidR="00A922C7" w:rsidRDefault="00A35BF4" w:rsidP="001C73BE">
      <w:pPr>
        <w:spacing w:after="0" w:line="240" w:lineRule="auto"/>
        <w:rPr>
          <w:rFonts w:ascii="Arial" w:hAnsi="Arial" w:cs="Arial"/>
          <w:b/>
          <w:color w:val="00B0F0"/>
          <w:sz w:val="24"/>
          <w:szCs w:val="24"/>
        </w:rPr>
      </w:pPr>
      <w:r w:rsidRPr="00A35BF4">
        <w:rPr>
          <w:rFonts w:ascii="Arial" w:hAnsi="Arial" w:cs="Arial"/>
          <w:b/>
          <w:color w:val="00B0F0"/>
          <w:sz w:val="24"/>
          <w:szCs w:val="24"/>
        </w:rPr>
        <w:t>5.1.2</w:t>
      </w:r>
      <w:r w:rsidRPr="00A35BF4">
        <w:rPr>
          <w:rFonts w:ascii="Arial" w:hAnsi="Arial" w:cs="Arial"/>
          <w:b/>
          <w:color w:val="00B0F0"/>
          <w:sz w:val="24"/>
          <w:szCs w:val="24"/>
        </w:rPr>
        <w:tab/>
      </w:r>
      <w:r w:rsidR="00A922C7" w:rsidRPr="00A35BF4">
        <w:rPr>
          <w:rFonts w:ascii="Arial" w:hAnsi="Arial" w:cs="Arial"/>
          <w:b/>
          <w:color w:val="00B0F0"/>
          <w:sz w:val="24"/>
          <w:szCs w:val="24"/>
        </w:rPr>
        <w:t>Physical Abuse</w:t>
      </w:r>
    </w:p>
    <w:p w14:paraId="080E2C16" w14:textId="77777777" w:rsidR="005B4CE0" w:rsidRPr="00A35BF4" w:rsidRDefault="005B4CE0" w:rsidP="001C73BE">
      <w:pPr>
        <w:spacing w:after="0" w:line="240" w:lineRule="auto"/>
        <w:rPr>
          <w:rFonts w:ascii="Arial" w:hAnsi="Arial" w:cs="Arial"/>
          <w:b/>
          <w:color w:val="00B0F0"/>
          <w:sz w:val="24"/>
          <w:szCs w:val="24"/>
        </w:rPr>
      </w:pPr>
    </w:p>
    <w:p w14:paraId="22BDEF68" w14:textId="77777777"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Offences Against the Person Act 1861 - a criminal prosecution, this Act contains core criminal offences relating to assaults including, actual and grievous bodily harm, wounding with intent and unlawful wounding, including assaults causing cuts, serious damage to internal organs and broken bones, the administration of drugs or noxious substances so as to cause harm. (A prosecution would have to be brought by the Police.)</w:t>
      </w:r>
    </w:p>
    <w:p w14:paraId="6B963116" w14:textId="77777777"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Civil action could be taken for assault, battery or false imprisonment</w:t>
      </w:r>
      <w:r w:rsidR="001C73BE">
        <w:rPr>
          <w:rFonts w:ascii="Arial" w:hAnsi="Arial" w:cs="Arial"/>
          <w:sz w:val="24"/>
          <w:szCs w:val="24"/>
        </w:rPr>
        <w:t xml:space="preserve">. </w:t>
      </w:r>
      <w:r w:rsidRPr="001C73BE">
        <w:rPr>
          <w:rFonts w:ascii="Arial" w:hAnsi="Arial" w:cs="Arial"/>
          <w:sz w:val="24"/>
          <w:szCs w:val="24"/>
        </w:rPr>
        <w:t>The client or their representative should take legal advice from either the Citizen's Advice Bureau or an independent solicitor.</w:t>
      </w:r>
    </w:p>
    <w:p w14:paraId="7BE5FDB1" w14:textId="77777777"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Criminal Injuries Compensation claim via CICA.</w:t>
      </w:r>
    </w:p>
    <w:p w14:paraId="4142744C" w14:textId="77777777"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Police and Criminal Evidence Act 1984, section 17 is a Police power to enter and save life.</w:t>
      </w:r>
    </w:p>
    <w:p w14:paraId="2D747156" w14:textId="77777777"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Family Law Act 1996 - can be used to obtain injunctions against perpetrators; non-molestation and occupation orders.</w:t>
      </w:r>
    </w:p>
    <w:p w14:paraId="672CAF08" w14:textId="4CD242DE" w:rsidR="00A922C7" w:rsidRPr="001C73BE" w:rsidRDefault="00A922C7" w:rsidP="001C73BE">
      <w:pPr>
        <w:pStyle w:val="ListParagraph"/>
        <w:numPr>
          <w:ilvl w:val="0"/>
          <w:numId w:val="1"/>
        </w:numPr>
        <w:spacing w:after="0" w:line="240" w:lineRule="auto"/>
        <w:ind w:left="426" w:hanging="426"/>
        <w:rPr>
          <w:rFonts w:ascii="Arial" w:hAnsi="Arial" w:cs="Arial"/>
          <w:sz w:val="24"/>
          <w:szCs w:val="24"/>
        </w:rPr>
      </w:pPr>
      <w:r w:rsidRPr="001C73BE">
        <w:rPr>
          <w:rFonts w:ascii="Arial" w:hAnsi="Arial" w:cs="Arial"/>
          <w:sz w:val="24"/>
          <w:szCs w:val="24"/>
        </w:rPr>
        <w:t>Health and Social Care Act 2008 (Regulated Activities) Regulations 2014</w:t>
      </w:r>
      <w:r w:rsidR="0044628A">
        <w:rPr>
          <w:rFonts w:ascii="Arial" w:hAnsi="Arial" w:cs="Arial"/>
          <w:sz w:val="24"/>
          <w:szCs w:val="24"/>
        </w:rPr>
        <w:t xml:space="preserve">. If </w:t>
      </w:r>
      <w:r w:rsidRPr="001C73BE">
        <w:rPr>
          <w:rFonts w:ascii="Arial" w:hAnsi="Arial" w:cs="Arial"/>
          <w:sz w:val="24"/>
          <w:szCs w:val="24"/>
        </w:rPr>
        <w:t>there is a breach of Regulation 8 (Safeguarding people who use services from abuse), this i</w:t>
      </w:r>
      <w:r w:rsidR="00613C29">
        <w:rPr>
          <w:rFonts w:ascii="Arial" w:hAnsi="Arial" w:cs="Arial"/>
          <w:sz w:val="24"/>
          <w:szCs w:val="24"/>
        </w:rPr>
        <w:t>s an offence under Regulation 22</w:t>
      </w:r>
      <w:r w:rsidRPr="001C73BE">
        <w:rPr>
          <w:rFonts w:ascii="Arial" w:hAnsi="Arial" w:cs="Arial"/>
          <w:sz w:val="24"/>
          <w:szCs w:val="24"/>
        </w:rPr>
        <w:t>. A person convicted of an offence is liable, on summary conviction, to a fine.</w:t>
      </w:r>
    </w:p>
    <w:p w14:paraId="1D4599BD" w14:textId="5BFDCA63" w:rsidR="0044628A" w:rsidRDefault="00A922C7" w:rsidP="008126E3">
      <w:pPr>
        <w:pStyle w:val="ListParagraph"/>
        <w:numPr>
          <w:ilvl w:val="0"/>
          <w:numId w:val="1"/>
        </w:numPr>
        <w:spacing w:after="0" w:line="240" w:lineRule="auto"/>
        <w:ind w:left="426" w:hanging="426"/>
        <w:rPr>
          <w:rFonts w:ascii="Arial" w:hAnsi="Arial" w:cs="Arial"/>
          <w:sz w:val="24"/>
          <w:szCs w:val="24"/>
        </w:rPr>
      </w:pPr>
      <w:r w:rsidRPr="0044628A">
        <w:rPr>
          <w:rFonts w:ascii="Arial" w:hAnsi="Arial" w:cs="Arial"/>
          <w:sz w:val="24"/>
          <w:szCs w:val="24"/>
        </w:rPr>
        <w:t>Domestic Violence Crimes &amp; Victims Act 2004 - creates an offence of causing or allowing the d</w:t>
      </w:r>
      <w:r w:rsidR="001C73BE" w:rsidRPr="0044628A">
        <w:rPr>
          <w:rFonts w:ascii="Arial" w:hAnsi="Arial" w:cs="Arial"/>
          <w:sz w:val="24"/>
          <w:szCs w:val="24"/>
        </w:rPr>
        <w:t>eath of a child or adult</w:t>
      </w:r>
      <w:r w:rsidRPr="0044628A">
        <w:rPr>
          <w:rFonts w:ascii="Arial" w:hAnsi="Arial" w:cs="Arial"/>
          <w:sz w:val="24"/>
          <w:szCs w:val="24"/>
        </w:rPr>
        <w:t>, where they have died of an unlawful act. The household member must have failed to take reasonable steps to protect the victim and the victim must have been at serious risk of physical harm, demonstrated by a history of violence towards the</w:t>
      </w:r>
      <w:r w:rsidR="00767048" w:rsidRPr="0044628A">
        <w:rPr>
          <w:rFonts w:ascii="Arial" w:hAnsi="Arial" w:cs="Arial"/>
          <w:sz w:val="24"/>
          <w:szCs w:val="24"/>
        </w:rPr>
        <w:t xml:space="preserve"> vulnerable person. </w:t>
      </w:r>
    </w:p>
    <w:p w14:paraId="17403F51" w14:textId="4F407DD4" w:rsidR="0044628A" w:rsidRPr="0044628A" w:rsidRDefault="0044628A" w:rsidP="0044628A">
      <w:pPr>
        <w:pStyle w:val="ListParagraph"/>
        <w:numPr>
          <w:ilvl w:val="0"/>
          <w:numId w:val="1"/>
        </w:numPr>
        <w:spacing w:after="0" w:line="240" w:lineRule="auto"/>
        <w:ind w:left="426" w:hanging="426"/>
        <w:rPr>
          <w:rFonts w:ascii="Arial" w:hAnsi="Arial" w:cs="Arial"/>
          <w:sz w:val="24"/>
          <w:szCs w:val="24"/>
        </w:rPr>
      </w:pPr>
      <w:r w:rsidRPr="0044628A">
        <w:rPr>
          <w:rFonts w:ascii="Arial" w:hAnsi="Arial" w:cs="Arial"/>
          <w:sz w:val="24"/>
          <w:szCs w:val="24"/>
        </w:rPr>
        <w:t>Domestic Abuse Act 2021 gives police, local authorities, and the courts wider powers and greater accountability concerning protecting domestic abuse victims.</w:t>
      </w:r>
    </w:p>
    <w:p w14:paraId="169065D6" w14:textId="1227ADB9" w:rsidR="00767048" w:rsidRPr="0044628A" w:rsidRDefault="00767048" w:rsidP="008126E3">
      <w:pPr>
        <w:pStyle w:val="ListParagraph"/>
        <w:numPr>
          <w:ilvl w:val="0"/>
          <w:numId w:val="1"/>
        </w:numPr>
        <w:spacing w:after="0" w:line="240" w:lineRule="auto"/>
        <w:ind w:left="426" w:hanging="426"/>
        <w:rPr>
          <w:rFonts w:ascii="Arial" w:hAnsi="Arial" w:cs="Arial"/>
          <w:sz w:val="24"/>
          <w:szCs w:val="24"/>
        </w:rPr>
      </w:pPr>
      <w:r w:rsidRPr="0044628A">
        <w:rPr>
          <w:rFonts w:ascii="Arial" w:hAnsi="Arial" w:cs="Arial"/>
          <w:sz w:val="24"/>
          <w:szCs w:val="24"/>
        </w:rPr>
        <w:t>The Serious Crime Act 2015 creates a new offence of controlling or coercive behaviour in intimate or familial relationships.</w:t>
      </w:r>
    </w:p>
    <w:p w14:paraId="3C9F7CD0" w14:textId="77777777" w:rsidR="00767048" w:rsidRPr="00B25454" w:rsidRDefault="00767048" w:rsidP="00767048">
      <w:pPr>
        <w:pStyle w:val="ListParagraph"/>
        <w:numPr>
          <w:ilvl w:val="0"/>
          <w:numId w:val="1"/>
        </w:numPr>
        <w:spacing w:after="0" w:line="240" w:lineRule="auto"/>
        <w:ind w:left="426" w:hanging="426"/>
        <w:rPr>
          <w:rFonts w:ascii="Arial" w:hAnsi="Arial" w:cs="Arial"/>
          <w:sz w:val="24"/>
          <w:szCs w:val="24"/>
        </w:rPr>
      </w:pPr>
      <w:r w:rsidRPr="00B25454">
        <w:rPr>
          <w:rFonts w:ascii="Arial" w:hAnsi="Arial" w:cs="Arial"/>
          <w:sz w:val="24"/>
          <w:szCs w:val="24"/>
        </w:rPr>
        <w:t>The Modern Slavery Act 2015 is designed to combat slavery in the UK and consolidates previous offences relating to trafficking and slavery.</w:t>
      </w:r>
    </w:p>
    <w:p w14:paraId="4D8408A2" w14:textId="77777777" w:rsidR="005B4CE0" w:rsidRDefault="005B4CE0" w:rsidP="001C73BE">
      <w:pPr>
        <w:spacing w:after="0" w:line="240" w:lineRule="auto"/>
        <w:rPr>
          <w:rFonts w:ascii="Arial" w:hAnsi="Arial" w:cs="Arial"/>
          <w:b/>
          <w:sz w:val="24"/>
          <w:szCs w:val="24"/>
          <w:u w:val="single"/>
        </w:rPr>
      </w:pPr>
    </w:p>
    <w:p w14:paraId="5D4C1D38" w14:textId="77777777" w:rsidR="00A922C7" w:rsidRDefault="00D37597" w:rsidP="001C73BE">
      <w:pPr>
        <w:spacing w:after="0" w:line="240" w:lineRule="auto"/>
        <w:rPr>
          <w:rFonts w:ascii="Arial" w:hAnsi="Arial" w:cs="Arial"/>
          <w:b/>
          <w:color w:val="00B0F0"/>
          <w:sz w:val="24"/>
          <w:szCs w:val="24"/>
        </w:rPr>
      </w:pPr>
      <w:r w:rsidRPr="00F537DB">
        <w:rPr>
          <w:rFonts w:ascii="Arial" w:hAnsi="Arial" w:cs="Arial"/>
          <w:b/>
          <w:color w:val="00B0F0"/>
          <w:sz w:val="24"/>
          <w:szCs w:val="24"/>
        </w:rPr>
        <w:t>5.1.3</w:t>
      </w:r>
      <w:r w:rsidRPr="00F537DB">
        <w:rPr>
          <w:rFonts w:ascii="Arial" w:hAnsi="Arial" w:cs="Arial"/>
          <w:b/>
          <w:color w:val="00B0F0"/>
          <w:sz w:val="24"/>
          <w:szCs w:val="24"/>
        </w:rPr>
        <w:tab/>
      </w:r>
      <w:r w:rsidR="00A922C7" w:rsidRPr="00F537DB">
        <w:rPr>
          <w:rFonts w:ascii="Arial" w:hAnsi="Arial" w:cs="Arial"/>
          <w:b/>
          <w:color w:val="00B0F0"/>
          <w:sz w:val="24"/>
          <w:szCs w:val="24"/>
        </w:rPr>
        <w:t>Sexual Abuse</w:t>
      </w:r>
    </w:p>
    <w:p w14:paraId="4C09DC89" w14:textId="77777777" w:rsidR="005B4CE0" w:rsidRPr="00F537DB" w:rsidRDefault="005B4CE0" w:rsidP="001C73BE">
      <w:pPr>
        <w:spacing w:after="0" w:line="240" w:lineRule="auto"/>
        <w:rPr>
          <w:rFonts w:ascii="Arial" w:hAnsi="Arial" w:cs="Arial"/>
          <w:b/>
          <w:color w:val="00B0F0"/>
          <w:sz w:val="24"/>
          <w:szCs w:val="24"/>
        </w:rPr>
      </w:pPr>
    </w:p>
    <w:p w14:paraId="315E62E4" w14:textId="77777777" w:rsidR="00A922C7" w:rsidRPr="001C73BE" w:rsidRDefault="00A922C7" w:rsidP="001C73BE">
      <w:pPr>
        <w:pStyle w:val="ListParagraph"/>
        <w:numPr>
          <w:ilvl w:val="0"/>
          <w:numId w:val="2"/>
        </w:numPr>
        <w:spacing w:after="0" w:line="240" w:lineRule="auto"/>
        <w:ind w:left="426" w:hanging="426"/>
        <w:rPr>
          <w:rFonts w:ascii="Arial" w:hAnsi="Arial" w:cs="Arial"/>
          <w:sz w:val="24"/>
          <w:szCs w:val="24"/>
        </w:rPr>
      </w:pPr>
      <w:r w:rsidRPr="001C73BE">
        <w:rPr>
          <w:rFonts w:ascii="Arial" w:hAnsi="Arial" w:cs="Arial"/>
          <w:sz w:val="24"/>
          <w:szCs w:val="24"/>
        </w:rPr>
        <w:t xml:space="preserve">Criminal prosecution - under the Sexual Offences Act 2003, as well as offences such as rape and sexual assault, there are specific offences against people with </w:t>
      </w:r>
      <w:r w:rsidRPr="001C73BE">
        <w:rPr>
          <w:rFonts w:ascii="Arial" w:hAnsi="Arial" w:cs="Arial"/>
          <w:sz w:val="24"/>
          <w:szCs w:val="24"/>
        </w:rPr>
        <w:lastRenderedPageBreak/>
        <w:t>'a mental disorder impeding choice'. Section 4 makes it an offence to not obtain consent. Sections 30-44 provide various offences against people who lack capacity, including specific offences for care workers. There is a defence to these offences if the individual did not know and had no reason to suspect that the person had a mental disorder.</w:t>
      </w:r>
    </w:p>
    <w:p w14:paraId="0D04869E" w14:textId="77777777" w:rsidR="00A922C7" w:rsidRPr="001C73BE" w:rsidRDefault="00A922C7" w:rsidP="001C73BE">
      <w:pPr>
        <w:pStyle w:val="ListParagraph"/>
        <w:numPr>
          <w:ilvl w:val="0"/>
          <w:numId w:val="2"/>
        </w:numPr>
        <w:spacing w:after="0" w:line="240" w:lineRule="auto"/>
        <w:ind w:left="426" w:hanging="426"/>
        <w:rPr>
          <w:rFonts w:ascii="Arial" w:hAnsi="Arial" w:cs="Arial"/>
          <w:sz w:val="24"/>
          <w:szCs w:val="24"/>
        </w:rPr>
      </w:pPr>
      <w:r w:rsidRPr="001C73BE">
        <w:rPr>
          <w:rFonts w:ascii="Arial" w:hAnsi="Arial" w:cs="Arial"/>
          <w:sz w:val="24"/>
          <w:szCs w:val="24"/>
        </w:rPr>
        <w:t>Civil action could be taken by the individual, but they should take legal advice from either the Citizen's Advice Bureau or an independent solicitor.</w:t>
      </w:r>
    </w:p>
    <w:p w14:paraId="01AD2150" w14:textId="77777777" w:rsidR="00A922C7" w:rsidRPr="001C73BE" w:rsidRDefault="00A922C7" w:rsidP="001C73BE">
      <w:pPr>
        <w:pStyle w:val="ListParagraph"/>
        <w:numPr>
          <w:ilvl w:val="0"/>
          <w:numId w:val="2"/>
        </w:numPr>
        <w:spacing w:after="0" w:line="240" w:lineRule="auto"/>
        <w:ind w:left="426" w:hanging="426"/>
        <w:rPr>
          <w:rFonts w:ascii="Arial" w:hAnsi="Arial" w:cs="Arial"/>
          <w:sz w:val="24"/>
          <w:szCs w:val="24"/>
        </w:rPr>
      </w:pPr>
      <w:r w:rsidRPr="001C73BE">
        <w:rPr>
          <w:rFonts w:ascii="Arial" w:hAnsi="Arial" w:cs="Arial"/>
          <w:sz w:val="24"/>
          <w:szCs w:val="24"/>
        </w:rPr>
        <w:t>Family Law Act 1996 - this could be considered for injunctions in the shape of non-molestation or occupation orders.</w:t>
      </w:r>
    </w:p>
    <w:p w14:paraId="69E3993B" w14:textId="07C0F5F8" w:rsidR="00A922C7" w:rsidRPr="001C73BE" w:rsidRDefault="00A922C7" w:rsidP="001C73BE">
      <w:pPr>
        <w:pStyle w:val="ListParagraph"/>
        <w:numPr>
          <w:ilvl w:val="0"/>
          <w:numId w:val="2"/>
        </w:numPr>
        <w:spacing w:after="0" w:line="240" w:lineRule="auto"/>
        <w:ind w:left="426" w:hanging="426"/>
        <w:rPr>
          <w:rFonts w:ascii="Arial" w:hAnsi="Arial" w:cs="Arial"/>
          <w:sz w:val="24"/>
          <w:szCs w:val="24"/>
        </w:rPr>
      </w:pPr>
      <w:r w:rsidRPr="001C73BE">
        <w:rPr>
          <w:rFonts w:ascii="Arial" w:hAnsi="Arial" w:cs="Arial"/>
          <w:sz w:val="24"/>
          <w:szCs w:val="24"/>
        </w:rPr>
        <w:t>Health and Social Care Act 2008 (Regulated Activities) Regulations 2014 If there is a breach of Regulation 8 (Safeguarding people who use services from abuse), this is an offence under Regulat</w:t>
      </w:r>
      <w:r w:rsidR="00613C29">
        <w:rPr>
          <w:rFonts w:ascii="Arial" w:hAnsi="Arial" w:cs="Arial"/>
          <w:sz w:val="24"/>
          <w:szCs w:val="24"/>
        </w:rPr>
        <w:t>ion 22</w:t>
      </w:r>
      <w:r w:rsidRPr="001C73BE">
        <w:rPr>
          <w:rFonts w:ascii="Arial" w:hAnsi="Arial" w:cs="Arial"/>
          <w:sz w:val="24"/>
          <w:szCs w:val="24"/>
        </w:rPr>
        <w:t>. A person convicted of an offence is liable, on summary c</w:t>
      </w:r>
      <w:r w:rsidR="001C73BE">
        <w:rPr>
          <w:rFonts w:ascii="Arial" w:hAnsi="Arial" w:cs="Arial"/>
          <w:sz w:val="24"/>
          <w:szCs w:val="24"/>
        </w:rPr>
        <w:t xml:space="preserve">onviction, to a fine. </w:t>
      </w:r>
    </w:p>
    <w:p w14:paraId="5B7A5BDA" w14:textId="77777777" w:rsidR="001C73BE" w:rsidRDefault="001C73BE" w:rsidP="001C73BE">
      <w:pPr>
        <w:spacing w:after="0" w:line="240" w:lineRule="auto"/>
        <w:rPr>
          <w:rFonts w:ascii="Arial" w:hAnsi="Arial" w:cs="Arial"/>
          <w:b/>
          <w:sz w:val="24"/>
          <w:szCs w:val="24"/>
          <w:u w:val="single"/>
        </w:rPr>
      </w:pPr>
    </w:p>
    <w:p w14:paraId="0022AEDD" w14:textId="77777777" w:rsidR="005B4CE0" w:rsidRDefault="005B4CE0" w:rsidP="001C73BE">
      <w:pPr>
        <w:spacing w:after="0" w:line="240" w:lineRule="auto"/>
        <w:rPr>
          <w:rFonts w:ascii="Arial" w:hAnsi="Arial" w:cs="Arial"/>
          <w:b/>
          <w:sz w:val="24"/>
          <w:szCs w:val="24"/>
          <w:u w:val="single"/>
        </w:rPr>
      </w:pPr>
    </w:p>
    <w:p w14:paraId="4D9B00A4" w14:textId="1C5AF7B8" w:rsidR="00A922C7" w:rsidRDefault="00E36DBA" w:rsidP="001C73BE">
      <w:pPr>
        <w:spacing w:after="0" w:line="240" w:lineRule="auto"/>
        <w:rPr>
          <w:rFonts w:ascii="Arial" w:hAnsi="Arial" w:cs="Arial"/>
          <w:b/>
          <w:color w:val="00B0F0"/>
          <w:sz w:val="24"/>
          <w:szCs w:val="24"/>
        </w:rPr>
      </w:pPr>
      <w:r w:rsidRPr="00E36DBA">
        <w:rPr>
          <w:rFonts w:ascii="Arial" w:hAnsi="Arial" w:cs="Arial"/>
          <w:b/>
          <w:color w:val="00B0F0"/>
          <w:sz w:val="24"/>
          <w:szCs w:val="24"/>
        </w:rPr>
        <w:t>5.1.4</w:t>
      </w:r>
      <w:r w:rsidRPr="00E36DBA">
        <w:rPr>
          <w:rFonts w:ascii="Arial" w:hAnsi="Arial" w:cs="Arial"/>
          <w:b/>
          <w:color w:val="00B0F0"/>
          <w:sz w:val="24"/>
          <w:szCs w:val="24"/>
        </w:rPr>
        <w:tab/>
      </w:r>
      <w:r w:rsidR="00A922C7" w:rsidRPr="00E36DBA">
        <w:rPr>
          <w:rFonts w:ascii="Arial" w:hAnsi="Arial" w:cs="Arial"/>
          <w:b/>
          <w:color w:val="00B0F0"/>
          <w:sz w:val="24"/>
          <w:szCs w:val="24"/>
        </w:rPr>
        <w:t>Psychological</w:t>
      </w:r>
      <w:r w:rsidR="0044628A">
        <w:rPr>
          <w:rFonts w:ascii="Arial" w:hAnsi="Arial" w:cs="Arial"/>
          <w:b/>
          <w:color w:val="00B0F0"/>
          <w:sz w:val="24"/>
          <w:szCs w:val="24"/>
        </w:rPr>
        <w:t>/Emotional</w:t>
      </w:r>
      <w:r w:rsidR="00A922C7" w:rsidRPr="00E36DBA">
        <w:rPr>
          <w:rFonts w:ascii="Arial" w:hAnsi="Arial" w:cs="Arial"/>
          <w:b/>
          <w:color w:val="00B0F0"/>
          <w:sz w:val="24"/>
          <w:szCs w:val="24"/>
        </w:rPr>
        <w:t xml:space="preserve"> Abuse</w:t>
      </w:r>
    </w:p>
    <w:p w14:paraId="4E7481CC" w14:textId="77777777" w:rsidR="005B4CE0" w:rsidRPr="00E36DBA" w:rsidRDefault="005B4CE0" w:rsidP="001C73BE">
      <w:pPr>
        <w:spacing w:after="0" w:line="240" w:lineRule="auto"/>
        <w:rPr>
          <w:rFonts w:ascii="Arial" w:hAnsi="Arial" w:cs="Arial"/>
          <w:b/>
          <w:color w:val="00B0F0"/>
          <w:sz w:val="24"/>
          <w:szCs w:val="24"/>
        </w:rPr>
      </w:pPr>
    </w:p>
    <w:p w14:paraId="66A45EC0" w14:textId="77777777" w:rsidR="00A922C7" w:rsidRPr="001C73BE" w:rsidRDefault="00A922C7" w:rsidP="001C73BE">
      <w:pPr>
        <w:pStyle w:val="ListParagraph"/>
        <w:numPr>
          <w:ilvl w:val="0"/>
          <w:numId w:val="3"/>
        </w:numPr>
        <w:spacing w:after="0" w:line="240" w:lineRule="auto"/>
        <w:ind w:left="426" w:hanging="426"/>
        <w:rPr>
          <w:rFonts w:ascii="Arial" w:hAnsi="Arial" w:cs="Arial"/>
          <w:sz w:val="24"/>
          <w:szCs w:val="24"/>
        </w:rPr>
      </w:pPr>
      <w:r w:rsidRPr="001C73BE">
        <w:rPr>
          <w:rFonts w:ascii="Arial" w:hAnsi="Arial" w:cs="Arial"/>
          <w:sz w:val="24"/>
          <w:szCs w:val="24"/>
        </w:rPr>
        <w:t>Protection from Harassment Act 1997 - can be used by Police or individual to obtain an injunction.</w:t>
      </w:r>
    </w:p>
    <w:p w14:paraId="4AD3DE51" w14:textId="77777777" w:rsidR="00A922C7" w:rsidRPr="001C73BE" w:rsidRDefault="00A922C7" w:rsidP="001C73BE">
      <w:pPr>
        <w:pStyle w:val="ListParagraph"/>
        <w:numPr>
          <w:ilvl w:val="0"/>
          <w:numId w:val="3"/>
        </w:numPr>
        <w:spacing w:after="0" w:line="240" w:lineRule="auto"/>
        <w:ind w:left="426" w:hanging="426"/>
        <w:rPr>
          <w:rFonts w:ascii="Arial" w:hAnsi="Arial" w:cs="Arial"/>
          <w:sz w:val="24"/>
          <w:szCs w:val="24"/>
        </w:rPr>
      </w:pPr>
      <w:r w:rsidRPr="001C73BE">
        <w:rPr>
          <w:rFonts w:ascii="Arial" w:hAnsi="Arial" w:cs="Arial"/>
          <w:sz w:val="24"/>
          <w:szCs w:val="24"/>
        </w:rPr>
        <w:t>Anti-discrimination legislation (race, sex disability). If someone is being treated unfavourably on the grounds of their sex, race or disability.</w:t>
      </w:r>
    </w:p>
    <w:p w14:paraId="3D0498DA" w14:textId="2774A978" w:rsidR="00A922C7" w:rsidRDefault="00A922C7" w:rsidP="001C73BE">
      <w:pPr>
        <w:pStyle w:val="ListParagraph"/>
        <w:numPr>
          <w:ilvl w:val="0"/>
          <w:numId w:val="3"/>
        </w:numPr>
        <w:spacing w:after="0" w:line="240" w:lineRule="auto"/>
        <w:ind w:left="426" w:hanging="426"/>
        <w:rPr>
          <w:rFonts w:ascii="Arial" w:hAnsi="Arial" w:cs="Arial"/>
          <w:sz w:val="24"/>
          <w:szCs w:val="24"/>
        </w:rPr>
      </w:pPr>
      <w:r w:rsidRPr="001C73BE">
        <w:rPr>
          <w:rFonts w:ascii="Arial" w:hAnsi="Arial" w:cs="Arial"/>
          <w:sz w:val="24"/>
          <w:szCs w:val="24"/>
        </w:rPr>
        <w:t>Health and Social Care Act 2008 (Regulated Activities) Regulations 2014 If there is a breach of Regulation 8 (Safeguarding people who use services from abuse), this i</w:t>
      </w:r>
      <w:r w:rsidR="00613C29">
        <w:rPr>
          <w:rFonts w:ascii="Arial" w:hAnsi="Arial" w:cs="Arial"/>
          <w:sz w:val="24"/>
          <w:szCs w:val="24"/>
        </w:rPr>
        <w:t>s an offence under Regulation 22</w:t>
      </w:r>
      <w:r w:rsidRPr="001C73BE">
        <w:rPr>
          <w:rFonts w:ascii="Arial" w:hAnsi="Arial" w:cs="Arial"/>
          <w:sz w:val="24"/>
          <w:szCs w:val="24"/>
        </w:rPr>
        <w:t>. A person convicted of an offence is liable, on summary conviction, to a fine.</w:t>
      </w:r>
    </w:p>
    <w:p w14:paraId="29EDC10E" w14:textId="0C1B38AC" w:rsidR="0044628A" w:rsidRDefault="0044628A" w:rsidP="001C73BE">
      <w:pPr>
        <w:pStyle w:val="ListParagraph"/>
        <w:numPr>
          <w:ilvl w:val="0"/>
          <w:numId w:val="3"/>
        </w:numPr>
        <w:spacing w:after="0" w:line="240" w:lineRule="auto"/>
        <w:ind w:left="426" w:hanging="426"/>
        <w:rPr>
          <w:rFonts w:ascii="Arial" w:hAnsi="Arial" w:cs="Arial"/>
          <w:sz w:val="24"/>
          <w:szCs w:val="24"/>
        </w:rPr>
      </w:pPr>
      <w:r w:rsidRPr="003675F5">
        <w:rPr>
          <w:rFonts w:ascii="Arial" w:hAnsi="Arial" w:cs="Arial"/>
          <w:sz w:val="24"/>
          <w:szCs w:val="24"/>
        </w:rPr>
        <w:t>The Domestic Abuse Ac</w:t>
      </w:r>
      <w:r w:rsidR="00A223EE" w:rsidRPr="003675F5">
        <w:rPr>
          <w:rFonts w:ascii="Arial" w:hAnsi="Arial" w:cs="Arial"/>
          <w:sz w:val="24"/>
          <w:szCs w:val="24"/>
        </w:rPr>
        <w:t>t</w:t>
      </w:r>
      <w:r w:rsidRPr="003675F5">
        <w:rPr>
          <w:rFonts w:ascii="Arial" w:hAnsi="Arial" w:cs="Arial"/>
          <w:sz w:val="24"/>
          <w:szCs w:val="24"/>
        </w:rPr>
        <w:t xml:space="preserve"> 2021 also encompasses emotional abuse.</w:t>
      </w:r>
    </w:p>
    <w:p w14:paraId="5DC93978" w14:textId="2CE003B5" w:rsidR="000F7242" w:rsidRPr="003675F5" w:rsidRDefault="003675F5" w:rsidP="003675F5">
      <w:pPr>
        <w:pStyle w:val="ListParagraph"/>
        <w:numPr>
          <w:ilvl w:val="0"/>
          <w:numId w:val="3"/>
        </w:numPr>
        <w:spacing w:after="0" w:line="240" w:lineRule="auto"/>
        <w:ind w:left="426" w:hanging="426"/>
        <w:rPr>
          <w:rFonts w:ascii="Arial" w:hAnsi="Arial" w:cs="Arial"/>
          <w:sz w:val="24"/>
          <w:szCs w:val="24"/>
        </w:rPr>
      </w:pPr>
      <w:r w:rsidRPr="003675F5">
        <w:rPr>
          <w:rFonts w:ascii="Arial" w:hAnsi="Arial" w:cs="Arial"/>
          <w:sz w:val="24"/>
          <w:szCs w:val="24"/>
        </w:rPr>
        <w:t>Section 76 of the Serious Crime Act 2015 created a new offence of controlling or coercive behaviour in an intimate or family relationship</w:t>
      </w:r>
    </w:p>
    <w:p w14:paraId="7468AB59" w14:textId="77777777" w:rsidR="001C73BE" w:rsidRDefault="001C73BE" w:rsidP="001C73BE">
      <w:pPr>
        <w:spacing w:after="0" w:line="240" w:lineRule="auto"/>
        <w:rPr>
          <w:rFonts w:ascii="Arial" w:hAnsi="Arial" w:cs="Arial"/>
          <w:b/>
          <w:sz w:val="24"/>
          <w:szCs w:val="24"/>
          <w:u w:val="single"/>
        </w:rPr>
      </w:pPr>
    </w:p>
    <w:p w14:paraId="6E827276" w14:textId="77777777" w:rsidR="005B4CE0" w:rsidRDefault="005B4CE0" w:rsidP="001C73BE">
      <w:pPr>
        <w:spacing w:after="0" w:line="240" w:lineRule="auto"/>
        <w:rPr>
          <w:rFonts w:ascii="Arial" w:hAnsi="Arial" w:cs="Arial"/>
          <w:b/>
          <w:sz w:val="24"/>
          <w:szCs w:val="24"/>
          <w:u w:val="single"/>
        </w:rPr>
      </w:pPr>
    </w:p>
    <w:p w14:paraId="1D6DFFE5" w14:textId="77777777" w:rsidR="00A922C7" w:rsidRDefault="00D778C4" w:rsidP="001C73BE">
      <w:pPr>
        <w:spacing w:after="0" w:line="240" w:lineRule="auto"/>
        <w:rPr>
          <w:rFonts w:ascii="Arial" w:hAnsi="Arial" w:cs="Arial"/>
          <w:b/>
          <w:color w:val="00B0F0"/>
          <w:sz w:val="24"/>
          <w:szCs w:val="24"/>
        </w:rPr>
      </w:pPr>
      <w:r w:rsidRPr="00D778C4">
        <w:rPr>
          <w:rFonts w:ascii="Arial" w:hAnsi="Arial" w:cs="Arial"/>
          <w:b/>
          <w:color w:val="00B0F0"/>
          <w:sz w:val="24"/>
          <w:szCs w:val="24"/>
        </w:rPr>
        <w:t>5.1.5</w:t>
      </w:r>
      <w:r w:rsidRPr="00D778C4">
        <w:rPr>
          <w:rFonts w:ascii="Arial" w:hAnsi="Arial" w:cs="Arial"/>
          <w:b/>
          <w:color w:val="00B0F0"/>
          <w:sz w:val="24"/>
          <w:szCs w:val="24"/>
        </w:rPr>
        <w:tab/>
      </w:r>
      <w:r w:rsidR="00A922C7" w:rsidRPr="00D778C4">
        <w:rPr>
          <w:rFonts w:ascii="Arial" w:hAnsi="Arial" w:cs="Arial"/>
          <w:b/>
          <w:color w:val="00B0F0"/>
          <w:sz w:val="24"/>
          <w:szCs w:val="24"/>
        </w:rPr>
        <w:t>Neglect</w:t>
      </w:r>
    </w:p>
    <w:p w14:paraId="1FFEC4BE" w14:textId="77777777" w:rsidR="005B4CE0" w:rsidRPr="00D778C4" w:rsidRDefault="005B4CE0" w:rsidP="001C73BE">
      <w:pPr>
        <w:spacing w:after="0" w:line="240" w:lineRule="auto"/>
        <w:rPr>
          <w:rFonts w:ascii="Arial" w:hAnsi="Arial" w:cs="Arial"/>
          <w:b/>
          <w:color w:val="00B0F0"/>
          <w:sz w:val="24"/>
          <w:szCs w:val="24"/>
        </w:rPr>
      </w:pPr>
    </w:p>
    <w:p w14:paraId="0BCE6A9E" w14:textId="77777777" w:rsidR="00A922C7" w:rsidRDefault="00A922C7" w:rsidP="001C73BE">
      <w:pPr>
        <w:pStyle w:val="ListParagraph"/>
        <w:numPr>
          <w:ilvl w:val="0"/>
          <w:numId w:val="4"/>
        </w:numPr>
        <w:spacing w:after="0" w:line="240" w:lineRule="auto"/>
        <w:ind w:left="426" w:hanging="426"/>
        <w:rPr>
          <w:rFonts w:ascii="Arial" w:hAnsi="Arial" w:cs="Arial"/>
          <w:sz w:val="24"/>
          <w:szCs w:val="24"/>
        </w:rPr>
      </w:pPr>
      <w:r w:rsidRPr="001C73BE">
        <w:rPr>
          <w:rFonts w:ascii="Arial" w:hAnsi="Arial" w:cs="Arial"/>
          <w:sz w:val="24"/>
          <w:szCs w:val="24"/>
        </w:rPr>
        <w:t>Section 42 Care Act 2014 – local authority’s duty to make enquiries where it has reasonable cause to suspect that an adult is experienci</w:t>
      </w:r>
      <w:r w:rsidR="001C73BE">
        <w:rPr>
          <w:rFonts w:ascii="Arial" w:hAnsi="Arial" w:cs="Arial"/>
          <w:sz w:val="24"/>
          <w:szCs w:val="24"/>
        </w:rPr>
        <w:t>ng, or is at risk of, abuse or n</w:t>
      </w:r>
      <w:r w:rsidRPr="001C73BE">
        <w:rPr>
          <w:rFonts w:ascii="Arial" w:hAnsi="Arial" w:cs="Arial"/>
          <w:sz w:val="24"/>
          <w:szCs w:val="24"/>
        </w:rPr>
        <w:t xml:space="preserve">eglect. </w:t>
      </w:r>
    </w:p>
    <w:p w14:paraId="08DCEEB7" w14:textId="77777777" w:rsidR="005B4CE0" w:rsidRPr="00A223EE" w:rsidRDefault="005B4CE0" w:rsidP="001C73BE">
      <w:pPr>
        <w:pStyle w:val="ListParagraph"/>
        <w:numPr>
          <w:ilvl w:val="0"/>
          <w:numId w:val="4"/>
        </w:numPr>
        <w:spacing w:after="0" w:line="240" w:lineRule="auto"/>
        <w:ind w:left="426" w:hanging="426"/>
        <w:rPr>
          <w:rFonts w:ascii="Arial" w:hAnsi="Arial" w:cs="Arial"/>
          <w:sz w:val="24"/>
          <w:szCs w:val="24"/>
        </w:rPr>
      </w:pPr>
      <w:r w:rsidRPr="00A223EE">
        <w:rPr>
          <w:rFonts w:ascii="Arial" w:hAnsi="Arial" w:cs="Arial"/>
          <w:bCs/>
          <w:sz w:val="24"/>
          <w:szCs w:val="24"/>
          <w:lang w:eastAsia="en-GB"/>
        </w:rPr>
        <w:t>Offences of ill-treatment or wilful neglect under or section 44 of the Mental Capacity Act 2005 include intentional or deliberate omission or failure to carry out an act of care by someone who has care of a person who lacks capacity to care for themselves.</w:t>
      </w:r>
    </w:p>
    <w:p w14:paraId="3B20E790" w14:textId="77777777" w:rsidR="009B5D30" w:rsidRDefault="009B5D30" w:rsidP="001C73BE">
      <w:pPr>
        <w:spacing w:after="0" w:line="240" w:lineRule="auto"/>
        <w:rPr>
          <w:rFonts w:ascii="Arial" w:hAnsi="Arial" w:cs="Arial"/>
          <w:b/>
          <w:color w:val="00B0F0"/>
          <w:sz w:val="24"/>
          <w:szCs w:val="24"/>
        </w:rPr>
      </w:pPr>
    </w:p>
    <w:p w14:paraId="1B762A04" w14:textId="77777777" w:rsidR="00A922C7" w:rsidRDefault="00D778C4" w:rsidP="001C73BE">
      <w:pPr>
        <w:spacing w:after="0" w:line="240" w:lineRule="auto"/>
        <w:rPr>
          <w:rFonts w:ascii="Arial" w:hAnsi="Arial" w:cs="Arial"/>
          <w:b/>
          <w:color w:val="00B0F0"/>
          <w:sz w:val="24"/>
          <w:szCs w:val="24"/>
        </w:rPr>
      </w:pPr>
      <w:r w:rsidRPr="00D778C4">
        <w:rPr>
          <w:rFonts w:ascii="Arial" w:hAnsi="Arial" w:cs="Arial"/>
          <w:b/>
          <w:color w:val="00B0F0"/>
          <w:sz w:val="24"/>
          <w:szCs w:val="24"/>
        </w:rPr>
        <w:t>5.1.6</w:t>
      </w:r>
      <w:r w:rsidRPr="00D778C4">
        <w:rPr>
          <w:rFonts w:ascii="Arial" w:hAnsi="Arial" w:cs="Arial"/>
          <w:b/>
          <w:color w:val="00B0F0"/>
          <w:sz w:val="24"/>
          <w:szCs w:val="24"/>
        </w:rPr>
        <w:tab/>
      </w:r>
      <w:r w:rsidR="00A922C7" w:rsidRPr="00D778C4">
        <w:rPr>
          <w:rFonts w:ascii="Arial" w:hAnsi="Arial" w:cs="Arial"/>
          <w:b/>
          <w:color w:val="00B0F0"/>
          <w:sz w:val="24"/>
          <w:szCs w:val="24"/>
        </w:rPr>
        <w:t>Financial Abuse</w:t>
      </w:r>
    </w:p>
    <w:p w14:paraId="2695D0FD" w14:textId="77777777" w:rsidR="006343E4" w:rsidRDefault="006343E4" w:rsidP="006343E4">
      <w:pPr>
        <w:spacing w:after="0" w:line="240" w:lineRule="auto"/>
        <w:rPr>
          <w:rFonts w:ascii="Arial" w:hAnsi="Arial" w:cs="Arial"/>
          <w:sz w:val="24"/>
          <w:szCs w:val="24"/>
        </w:rPr>
      </w:pPr>
    </w:p>
    <w:p w14:paraId="56D94FAD" w14:textId="1B5B02D2" w:rsidR="00763B5F" w:rsidRPr="00CF6707" w:rsidRDefault="00763B5F" w:rsidP="006343E4">
      <w:pPr>
        <w:pStyle w:val="ListParagraph"/>
        <w:numPr>
          <w:ilvl w:val="0"/>
          <w:numId w:val="18"/>
        </w:numPr>
        <w:spacing w:after="0" w:line="240" w:lineRule="auto"/>
        <w:ind w:left="426"/>
        <w:rPr>
          <w:rFonts w:ascii="Arial" w:hAnsi="Arial" w:cs="Arial"/>
          <w:b/>
          <w:color w:val="00B0F0"/>
          <w:sz w:val="24"/>
          <w:szCs w:val="24"/>
        </w:rPr>
      </w:pPr>
      <w:r w:rsidRPr="00CF6707">
        <w:rPr>
          <w:rFonts w:ascii="Arial" w:hAnsi="Arial" w:cs="Arial"/>
          <w:sz w:val="24"/>
          <w:szCs w:val="24"/>
        </w:rPr>
        <w:t xml:space="preserve">The Care Act 2014 Eligibility Regulations recognise that “financial wellbeing” is one of the nine wellbeing outcomes that are critical for people who have care and support needs. Whilst some may only need assistance with managing their financial interests others may not be able to manage their money at all and need someone to do so on their behalf. </w:t>
      </w:r>
    </w:p>
    <w:p w14:paraId="4691AB20" w14:textId="19CA8C58" w:rsidR="00763B5F" w:rsidRPr="006343E4" w:rsidRDefault="006343E4" w:rsidP="006343E4">
      <w:pPr>
        <w:pStyle w:val="ListParagraph"/>
        <w:numPr>
          <w:ilvl w:val="0"/>
          <w:numId w:val="18"/>
        </w:numPr>
        <w:spacing w:after="0" w:line="240" w:lineRule="auto"/>
        <w:ind w:left="426"/>
        <w:rPr>
          <w:rFonts w:ascii="Arial" w:hAnsi="Arial" w:cs="Arial"/>
          <w:b/>
          <w:color w:val="00B0F0"/>
          <w:sz w:val="24"/>
          <w:szCs w:val="24"/>
        </w:rPr>
      </w:pPr>
      <w:proofErr w:type="spellStart"/>
      <w:r w:rsidRPr="006343E4">
        <w:rPr>
          <w:rFonts w:ascii="Arial" w:hAnsi="Arial" w:cs="Arial"/>
          <w:b/>
          <w:sz w:val="24"/>
          <w:szCs w:val="24"/>
        </w:rPr>
        <w:lastRenderedPageBreak/>
        <w:t>Appointeeship</w:t>
      </w:r>
      <w:proofErr w:type="spellEnd"/>
      <w:r>
        <w:rPr>
          <w:rFonts w:ascii="Arial" w:hAnsi="Arial" w:cs="Arial"/>
          <w:sz w:val="24"/>
          <w:szCs w:val="24"/>
        </w:rPr>
        <w:t xml:space="preserve">: </w:t>
      </w:r>
      <w:r w:rsidR="00763B5F" w:rsidRPr="006343E4">
        <w:rPr>
          <w:rFonts w:ascii="Arial" w:hAnsi="Arial" w:cs="Arial"/>
          <w:sz w:val="24"/>
          <w:szCs w:val="24"/>
        </w:rPr>
        <w:t>An Appointee is an individual, organisation or representative of an organisation who has been authorised by the DWP to claim, collect and use DWP benefits or State Pension on behalf of a cl</w:t>
      </w:r>
      <w:r w:rsidR="00941D9F">
        <w:rPr>
          <w:rFonts w:ascii="Arial" w:hAnsi="Arial" w:cs="Arial"/>
          <w:sz w:val="24"/>
          <w:szCs w:val="24"/>
        </w:rPr>
        <w:t>aimant</w:t>
      </w:r>
      <w:r w:rsidR="00763B5F" w:rsidRPr="006343E4">
        <w:rPr>
          <w:rFonts w:ascii="Arial" w:hAnsi="Arial" w:cs="Arial"/>
          <w:sz w:val="24"/>
          <w:szCs w:val="24"/>
        </w:rPr>
        <w:t xml:space="preserve">. </w:t>
      </w:r>
    </w:p>
    <w:p w14:paraId="0BD3C99A" w14:textId="5D1A2533" w:rsidR="00A922C7" w:rsidRPr="001C73BE" w:rsidRDefault="006343E4" w:rsidP="006343E4">
      <w:pPr>
        <w:pStyle w:val="ListParagraph"/>
        <w:numPr>
          <w:ilvl w:val="0"/>
          <w:numId w:val="4"/>
        </w:numPr>
        <w:spacing w:after="0" w:line="240" w:lineRule="auto"/>
        <w:ind w:left="426" w:hanging="426"/>
        <w:rPr>
          <w:rFonts w:ascii="Arial" w:hAnsi="Arial" w:cs="Arial"/>
          <w:sz w:val="24"/>
          <w:szCs w:val="24"/>
        </w:rPr>
      </w:pPr>
      <w:r w:rsidRPr="006343E4">
        <w:rPr>
          <w:rFonts w:ascii="Arial" w:hAnsi="Arial" w:cs="Arial"/>
          <w:b/>
          <w:sz w:val="24"/>
          <w:szCs w:val="24"/>
        </w:rPr>
        <w:t>Lasting Powers of Attorney:</w:t>
      </w:r>
      <w:r>
        <w:rPr>
          <w:rFonts w:ascii="Arial" w:hAnsi="Arial" w:cs="Arial"/>
          <w:sz w:val="24"/>
          <w:szCs w:val="24"/>
        </w:rPr>
        <w:t xml:space="preserve"> </w:t>
      </w:r>
      <w:r w:rsidR="00A922C7" w:rsidRPr="006343E4">
        <w:rPr>
          <w:rFonts w:ascii="Arial" w:hAnsi="Arial" w:cs="Arial"/>
          <w:sz w:val="24"/>
          <w:szCs w:val="24"/>
        </w:rPr>
        <w:t xml:space="preserve">Lasting Powers of Attorney (LPA) were introduced by the Mental Capacity Act 2005. These replace the former Enduring Powers of Attorney </w:t>
      </w:r>
      <w:r w:rsidR="00FD1762" w:rsidRPr="006343E4">
        <w:rPr>
          <w:rFonts w:ascii="Arial" w:hAnsi="Arial" w:cs="Arial"/>
          <w:sz w:val="24"/>
          <w:szCs w:val="24"/>
        </w:rPr>
        <w:t xml:space="preserve">(EPA) </w:t>
      </w:r>
      <w:r w:rsidR="00A922C7" w:rsidRPr="006343E4">
        <w:rPr>
          <w:rFonts w:ascii="Arial" w:hAnsi="Arial" w:cs="Arial"/>
          <w:sz w:val="24"/>
          <w:szCs w:val="24"/>
        </w:rPr>
        <w:t>that, after 1 October 2007, can no longer be created</w:t>
      </w:r>
      <w:r w:rsidR="00FD1762" w:rsidRPr="006343E4">
        <w:rPr>
          <w:rFonts w:ascii="Arial" w:hAnsi="Arial" w:cs="Arial"/>
          <w:sz w:val="24"/>
          <w:szCs w:val="24"/>
        </w:rPr>
        <w:t xml:space="preserve"> (EPAs created before 01.10.2007 remain valid but they are required to be registered at the Office of the Public Guardian should the Donor be assessed as not having the mental capacity to manage their own affairs or if the Donor</w:t>
      </w:r>
      <w:r w:rsidR="00FD1762">
        <w:rPr>
          <w:rFonts w:ascii="Arial" w:hAnsi="Arial" w:cs="Arial"/>
          <w:sz w:val="24"/>
          <w:szCs w:val="24"/>
        </w:rPr>
        <w:t xml:space="preserve"> consents to the EPA becoming active)</w:t>
      </w:r>
      <w:r w:rsidR="00A922C7" w:rsidRPr="001C73BE">
        <w:rPr>
          <w:rFonts w:ascii="Arial" w:hAnsi="Arial" w:cs="Arial"/>
          <w:sz w:val="24"/>
          <w:szCs w:val="24"/>
        </w:rPr>
        <w:t xml:space="preserve">. An LPA is a legal document that allows a person who currently has </w:t>
      </w:r>
      <w:r w:rsidR="00FD1762">
        <w:rPr>
          <w:rFonts w:ascii="Arial" w:hAnsi="Arial" w:cs="Arial"/>
          <w:sz w:val="24"/>
          <w:szCs w:val="24"/>
        </w:rPr>
        <w:t xml:space="preserve">mental </w:t>
      </w:r>
      <w:r w:rsidR="00A922C7" w:rsidRPr="001C73BE">
        <w:rPr>
          <w:rFonts w:ascii="Arial" w:hAnsi="Arial" w:cs="Arial"/>
          <w:sz w:val="24"/>
          <w:szCs w:val="24"/>
        </w:rPr>
        <w:t>capacity (`the Donor') to appoint someone they trust (`the Attorney) to make decisions on their behalf.</w:t>
      </w:r>
    </w:p>
    <w:p w14:paraId="56E9C886" w14:textId="77777777" w:rsidR="00A922C7" w:rsidRPr="001C73BE" w:rsidRDefault="00A922C7" w:rsidP="006343E4">
      <w:pPr>
        <w:pStyle w:val="ListParagraph"/>
        <w:numPr>
          <w:ilvl w:val="0"/>
          <w:numId w:val="4"/>
        </w:numPr>
        <w:spacing w:after="0" w:line="240" w:lineRule="auto"/>
        <w:ind w:left="426" w:hanging="426"/>
        <w:rPr>
          <w:rFonts w:ascii="Arial" w:hAnsi="Arial" w:cs="Arial"/>
          <w:sz w:val="24"/>
          <w:szCs w:val="24"/>
        </w:rPr>
      </w:pPr>
      <w:r w:rsidRPr="001C73BE">
        <w:rPr>
          <w:rFonts w:ascii="Arial" w:hAnsi="Arial" w:cs="Arial"/>
          <w:sz w:val="24"/>
          <w:szCs w:val="24"/>
        </w:rPr>
        <w:t>There are two types of LPA:</w:t>
      </w:r>
    </w:p>
    <w:p w14:paraId="61BEA3A1" w14:textId="66FF9453" w:rsidR="00A922C7" w:rsidRPr="001C73BE" w:rsidRDefault="00A922C7" w:rsidP="001C73BE">
      <w:pPr>
        <w:pStyle w:val="ListParagraph"/>
        <w:numPr>
          <w:ilvl w:val="0"/>
          <w:numId w:val="10"/>
        </w:numPr>
        <w:spacing w:after="0" w:line="240" w:lineRule="auto"/>
        <w:rPr>
          <w:rFonts w:ascii="Arial" w:hAnsi="Arial" w:cs="Arial"/>
          <w:sz w:val="24"/>
          <w:szCs w:val="24"/>
        </w:rPr>
      </w:pPr>
      <w:r w:rsidRPr="001C73BE">
        <w:rPr>
          <w:rFonts w:ascii="Arial" w:hAnsi="Arial" w:cs="Arial"/>
          <w:sz w:val="24"/>
          <w:szCs w:val="24"/>
        </w:rPr>
        <w:t xml:space="preserve">Property and </w:t>
      </w:r>
      <w:r w:rsidR="00FD1762">
        <w:rPr>
          <w:rFonts w:ascii="Arial" w:hAnsi="Arial" w:cs="Arial"/>
          <w:sz w:val="24"/>
          <w:szCs w:val="24"/>
        </w:rPr>
        <w:t>Financial A</w:t>
      </w:r>
      <w:r w:rsidRPr="001C73BE">
        <w:rPr>
          <w:rFonts w:ascii="Arial" w:hAnsi="Arial" w:cs="Arial"/>
          <w:sz w:val="24"/>
          <w:szCs w:val="24"/>
        </w:rPr>
        <w:t>ffairs LPA - allows the Donor to choose someone to make decisions about how to spend his or her money, including the management of his/her property and affairs;</w:t>
      </w:r>
    </w:p>
    <w:p w14:paraId="6998475B" w14:textId="75EA1B07" w:rsidR="00A922C7" w:rsidRPr="001C73BE" w:rsidRDefault="00A922C7" w:rsidP="001C73BE">
      <w:pPr>
        <w:pStyle w:val="ListParagraph"/>
        <w:numPr>
          <w:ilvl w:val="0"/>
          <w:numId w:val="10"/>
        </w:numPr>
        <w:spacing w:after="0" w:line="240" w:lineRule="auto"/>
        <w:rPr>
          <w:rFonts w:ascii="Arial" w:hAnsi="Arial" w:cs="Arial"/>
          <w:sz w:val="24"/>
          <w:szCs w:val="24"/>
        </w:rPr>
      </w:pPr>
      <w:r w:rsidRPr="001C73BE">
        <w:rPr>
          <w:rFonts w:ascii="Arial" w:hAnsi="Arial" w:cs="Arial"/>
          <w:sz w:val="24"/>
          <w:szCs w:val="24"/>
        </w:rPr>
        <w:t xml:space="preserve">Personal </w:t>
      </w:r>
      <w:r w:rsidR="00FD1762">
        <w:rPr>
          <w:rFonts w:ascii="Arial" w:hAnsi="Arial" w:cs="Arial"/>
          <w:sz w:val="24"/>
          <w:szCs w:val="24"/>
        </w:rPr>
        <w:t>W</w:t>
      </w:r>
      <w:r w:rsidRPr="001C73BE">
        <w:rPr>
          <w:rFonts w:ascii="Arial" w:hAnsi="Arial" w:cs="Arial"/>
          <w:sz w:val="24"/>
          <w:szCs w:val="24"/>
        </w:rPr>
        <w:t>elfare - allows the Donor to choose someone to make decisions about his or her healthcare and welfare. This includes decisions to refuse or consent to treatment on his or her behalf and deciding where to live.</w:t>
      </w:r>
    </w:p>
    <w:p w14:paraId="11F64F2B" w14:textId="2BA5717E" w:rsidR="00A922C7" w:rsidRPr="00763B5F" w:rsidRDefault="00A922C7" w:rsidP="006343E4">
      <w:pPr>
        <w:pStyle w:val="ListParagraph"/>
        <w:numPr>
          <w:ilvl w:val="0"/>
          <w:numId w:val="4"/>
        </w:numPr>
        <w:spacing w:after="0" w:line="240" w:lineRule="auto"/>
        <w:ind w:left="426" w:hanging="426"/>
        <w:rPr>
          <w:rFonts w:ascii="Arial" w:hAnsi="Arial" w:cs="Arial"/>
          <w:sz w:val="24"/>
          <w:szCs w:val="24"/>
        </w:rPr>
      </w:pPr>
      <w:r w:rsidRPr="001C73BE">
        <w:rPr>
          <w:rFonts w:ascii="Arial" w:hAnsi="Arial" w:cs="Arial"/>
          <w:sz w:val="24"/>
          <w:szCs w:val="24"/>
        </w:rPr>
        <w:t xml:space="preserve">The LPA must be registered with the Office of the Public Guardian in order to have legal standing. A registered LPA can be used at any time, whether the person </w:t>
      </w:r>
      <w:r w:rsidRPr="00763B5F">
        <w:rPr>
          <w:rFonts w:ascii="Arial" w:hAnsi="Arial" w:cs="Arial"/>
          <w:sz w:val="24"/>
          <w:szCs w:val="24"/>
        </w:rPr>
        <w:t xml:space="preserve">making the LPA has the mental capacity to act for </w:t>
      </w:r>
      <w:r w:rsidR="00473BCE" w:rsidRPr="00763B5F">
        <w:rPr>
          <w:rFonts w:ascii="Arial" w:hAnsi="Arial" w:cs="Arial"/>
          <w:sz w:val="24"/>
          <w:szCs w:val="24"/>
        </w:rPr>
        <w:t>themselves</w:t>
      </w:r>
      <w:r w:rsidRPr="00763B5F">
        <w:rPr>
          <w:rFonts w:ascii="Arial" w:hAnsi="Arial" w:cs="Arial"/>
          <w:sz w:val="24"/>
          <w:szCs w:val="24"/>
        </w:rPr>
        <w:t xml:space="preserve"> or not. Once the LPA is registered it continues </w:t>
      </w:r>
      <w:r w:rsidR="00FD1762" w:rsidRPr="00763B5F">
        <w:rPr>
          <w:rFonts w:ascii="Arial" w:hAnsi="Arial" w:cs="Arial"/>
          <w:sz w:val="24"/>
          <w:szCs w:val="24"/>
        </w:rPr>
        <w:t>until the LPA is cancelled, relinquished or upon the death of the Donor or An Attorney</w:t>
      </w:r>
      <w:r w:rsidRPr="00763B5F">
        <w:rPr>
          <w:rFonts w:ascii="Arial" w:hAnsi="Arial" w:cs="Arial"/>
          <w:sz w:val="24"/>
          <w:szCs w:val="24"/>
        </w:rPr>
        <w:t>. An LPA can also be cancelled by the Donor, provided s/he has the mental capacity to do so.</w:t>
      </w:r>
      <w:r w:rsidR="000F7242">
        <w:rPr>
          <w:rFonts w:ascii="Arial" w:hAnsi="Arial" w:cs="Arial"/>
          <w:sz w:val="24"/>
          <w:szCs w:val="24"/>
        </w:rPr>
        <w:t xml:space="preserve"> </w:t>
      </w:r>
    </w:p>
    <w:p w14:paraId="47D079F5" w14:textId="4F120EC3" w:rsidR="00763B5F" w:rsidRPr="00CF6707" w:rsidRDefault="006343E4" w:rsidP="006343E4">
      <w:pPr>
        <w:pStyle w:val="ListParagraph"/>
        <w:numPr>
          <w:ilvl w:val="0"/>
          <w:numId w:val="4"/>
        </w:numPr>
        <w:spacing w:after="0" w:line="240" w:lineRule="auto"/>
        <w:ind w:left="426" w:hanging="426"/>
        <w:rPr>
          <w:rFonts w:ascii="Arial" w:hAnsi="Arial" w:cs="Arial"/>
          <w:sz w:val="24"/>
          <w:szCs w:val="24"/>
        </w:rPr>
      </w:pPr>
      <w:r w:rsidRPr="00A223EE">
        <w:rPr>
          <w:rFonts w:ascii="Arial" w:hAnsi="Arial" w:cs="Arial"/>
          <w:sz w:val="24"/>
          <w:szCs w:val="24"/>
        </w:rPr>
        <w:t>Deputyship;</w:t>
      </w:r>
      <w:r w:rsidRPr="00CF6707">
        <w:rPr>
          <w:rFonts w:ascii="Arial" w:hAnsi="Arial" w:cs="Arial"/>
          <w:sz w:val="24"/>
          <w:szCs w:val="24"/>
        </w:rPr>
        <w:t xml:space="preserve"> </w:t>
      </w:r>
      <w:r w:rsidR="00763B5F" w:rsidRPr="00CF6707">
        <w:rPr>
          <w:rFonts w:ascii="Arial" w:hAnsi="Arial" w:cs="Arial"/>
          <w:sz w:val="24"/>
          <w:szCs w:val="24"/>
        </w:rPr>
        <w:t xml:space="preserve">A Deputy is appointed by the Court of Protection to make decisions for someone who is unable to do so because they lack mental capacity (a person must lack mental capacity to be eligible to have a deputy). </w:t>
      </w:r>
    </w:p>
    <w:p w14:paraId="21302D83" w14:textId="55778AED" w:rsidR="00763B5F" w:rsidRPr="00CF6707" w:rsidRDefault="00763B5F" w:rsidP="006343E4">
      <w:pPr>
        <w:pStyle w:val="ListParagraph"/>
        <w:numPr>
          <w:ilvl w:val="0"/>
          <w:numId w:val="4"/>
        </w:numPr>
        <w:spacing w:after="0" w:line="240" w:lineRule="auto"/>
        <w:ind w:left="426" w:hanging="426"/>
        <w:rPr>
          <w:rFonts w:ascii="Arial" w:hAnsi="Arial" w:cs="Arial"/>
          <w:sz w:val="24"/>
          <w:szCs w:val="24"/>
        </w:rPr>
      </w:pPr>
      <w:r w:rsidRPr="00CF6707">
        <w:rPr>
          <w:rFonts w:ascii="Arial" w:hAnsi="Arial" w:cs="Arial"/>
          <w:sz w:val="24"/>
          <w:szCs w:val="24"/>
        </w:rPr>
        <w:t xml:space="preserve">There are two types of Deputies; those who look after property and financial affairs and those who look after a person’s health and welfare. It is possible for there to be more than one person appointed as a deputy to each type. </w:t>
      </w:r>
    </w:p>
    <w:p w14:paraId="3147E7AF" w14:textId="37934F42" w:rsidR="00A922C7" w:rsidRPr="001C73BE" w:rsidRDefault="000F7242" w:rsidP="006343E4">
      <w:pPr>
        <w:pStyle w:val="ListParagraph"/>
        <w:numPr>
          <w:ilvl w:val="0"/>
          <w:numId w:val="4"/>
        </w:numPr>
        <w:spacing w:after="0" w:line="240" w:lineRule="auto"/>
        <w:ind w:left="426" w:hanging="426"/>
        <w:rPr>
          <w:rFonts w:ascii="Arial" w:hAnsi="Arial" w:cs="Arial"/>
          <w:sz w:val="24"/>
          <w:szCs w:val="24"/>
        </w:rPr>
      </w:pPr>
      <w:r>
        <w:rPr>
          <w:rFonts w:ascii="Arial" w:hAnsi="Arial" w:cs="Arial"/>
          <w:sz w:val="24"/>
          <w:szCs w:val="24"/>
        </w:rPr>
        <w:t>Referrals can be made</w:t>
      </w:r>
      <w:r w:rsidR="00A922C7" w:rsidRPr="00763B5F">
        <w:rPr>
          <w:rFonts w:ascii="Arial" w:hAnsi="Arial" w:cs="Arial"/>
          <w:sz w:val="24"/>
          <w:szCs w:val="24"/>
        </w:rPr>
        <w:t xml:space="preserve"> to the</w:t>
      </w:r>
      <w:r w:rsidR="00A922C7" w:rsidRPr="001C73BE">
        <w:rPr>
          <w:rFonts w:ascii="Arial" w:hAnsi="Arial" w:cs="Arial"/>
          <w:sz w:val="24"/>
          <w:szCs w:val="24"/>
        </w:rPr>
        <w:t xml:space="preserve"> Office of the Public Guardi</w:t>
      </w:r>
      <w:r>
        <w:rPr>
          <w:rFonts w:ascii="Arial" w:hAnsi="Arial" w:cs="Arial"/>
          <w:sz w:val="24"/>
          <w:szCs w:val="24"/>
        </w:rPr>
        <w:t>an if there is a concern</w:t>
      </w:r>
      <w:r w:rsidR="00A922C7" w:rsidRPr="001C73BE">
        <w:rPr>
          <w:rFonts w:ascii="Arial" w:hAnsi="Arial" w:cs="Arial"/>
          <w:sz w:val="24"/>
          <w:szCs w:val="24"/>
        </w:rPr>
        <w:t xml:space="preserve"> </w:t>
      </w:r>
      <w:r>
        <w:rPr>
          <w:rFonts w:ascii="Arial" w:hAnsi="Arial" w:cs="Arial"/>
          <w:sz w:val="24"/>
          <w:szCs w:val="24"/>
        </w:rPr>
        <w:t>about LPA/EPA or a Deputy that</w:t>
      </w:r>
      <w:r w:rsidR="00A922C7" w:rsidRPr="001C73BE">
        <w:rPr>
          <w:rFonts w:ascii="Arial" w:hAnsi="Arial" w:cs="Arial"/>
          <w:sz w:val="24"/>
          <w:szCs w:val="24"/>
        </w:rPr>
        <w:t xml:space="preserve"> may not be acting in an individual's best interest.</w:t>
      </w:r>
      <w:r>
        <w:rPr>
          <w:rFonts w:ascii="Arial" w:hAnsi="Arial" w:cs="Arial"/>
          <w:sz w:val="24"/>
          <w:szCs w:val="24"/>
        </w:rPr>
        <w:t xml:space="preserve"> Concerns may be about the misuse of money or decisions that are not in the best interests of the person they are responsible for.</w:t>
      </w:r>
    </w:p>
    <w:p w14:paraId="2E8FEDDB" w14:textId="77777777" w:rsidR="00A922C7" w:rsidRPr="001C73BE" w:rsidRDefault="00A922C7" w:rsidP="006343E4">
      <w:pPr>
        <w:pStyle w:val="ListParagraph"/>
        <w:numPr>
          <w:ilvl w:val="0"/>
          <w:numId w:val="4"/>
        </w:numPr>
        <w:spacing w:after="0" w:line="240" w:lineRule="auto"/>
        <w:ind w:left="426" w:hanging="426"/>
        <w:rPr>
          <w:rFonts w:ascii="Arial" w:hAnsi="Arial" w:cs="Arial"/>
          <w:sz w:val="24"/>
          <w:szCs w:val="24"/>
        </w:rPr>
      </w:pPr>
      <w:r w:rsidRPr="001C73BE">
        <w:rPr>
          <w:rFonts w:ascii="Arial" w:hAnsi="Arial" w:cs="Arial"/>
          <w:sz w:val="24"/>
          <w:szCs w:val="24"/>
        </w:rPr>
        <w:t>Note: a person given a power under an Enduring Power of Attorney (EPA) before 1 October 2007 can still use it and apply to have it registered.</w:t>
      </w:r>
    </w:p>
    <w:p w14:paraId="64042643" w14:textId="721C3DDC" w:rsidR="00473BCE" w:rsidRDefault="00A922C7" w:rsidP="006343E4">
      <w:pPr>
        <w:pStyle w:val="ListParagraph"/>
        <w:numPr>
          <w:ilvl w:val="0"/>
          <w:numId w:val="4"/>
        </w:numPr>
        <w:spacing w:after="0" w:line="240" w:lineRule="auto"/>
        <w:ind w:left="426" w:hanging="426"/>
        <w:rPr>
          <w:rFonts w:ascii="Arial" w:hAnsi="Arial" w:cs="Arial"/>
          <w:sz w:val="24"/>
          <w:szCs w:val="24"/>
        </w:rPr>
      </w:pPr>
      <w:r w:rsidRPr="00473BCE">
        <w:rPr>
          <w:rFonts w:ascii="Arial" w:hAnsi="Arial" w:cs="Arial"/>
          <w:sz w:val="24"/>
          <w:szCs w:val="24"/>
        </w:rPr>
        <w:t xml:space="preserve">Further information about LPAs can be found on the </w:t>
      </w:r>
      <w:r w:rsidR="00473BCE" w:rsidRPr="00473BCE">
        <w:rPr>
          <w:rFonts w:ascii="Arial" w:hAnsi="Arial" w:cs="Arial"/>
          <w:sz w:val="24"/>
          <w:szCs w:val="24"/>
        </w:rPr>
        <w:t>Gov</w:t>
      </w:r>
      <w:r w:rsidR="00473BCE">
        <w:rPr>
          <w:rFonts w:ascii="Arial" w:hAnsi="Arial" w:cs="Arial"/>
          <w:sz w:val="24"/>
          <w:szCs w:val="24"/>
        </w:rPr>
        <w:t>.UK</w:t>
      </w:r>
      <w:r w:rsidR="00473BCE" w:rsidRPr="00473BCE">
        <w:rPr>
          <w:rFonts w:ascii="Arial" w:hAnsi="Arial" w:cs="Arial"/>
          <w:sz w:val="24"/>
          <w:szCs w:val="24"/>
        </w:rPr>
        <w:t xml:space="preserve"> </w:t>
      </w:r>
      <w:r w:rsidRPr="00473BCE">
        <w:rPr>
          <w:rFonts w:ascii="Arial" w:hAnsi="Arial" w:cs="Arial"/>
          <w:sz w:val="24"/>
          <w:szCs w:val="24"/>
        </w:rPr>
        <w:t>website</w:t>
      </w:r>
      <w:r w:rsidR="00473BCE">
        <w:rPr>
          <w:rFonts w:ascii="Arial" w:hAnsi="Arial" w:cs="Arial"/>
          <w:sz w:val="24"/>
          <w:szCs w:val="24"/>
        </w:rPr>
        <w:t xml:space="preserve">. </w:t>
      </w:r>
    </w:p>
    <w:p w14:paraId="0E3CC6DD" w14:textId="77777777" w:rsidR="00A922C7" w:rsidRPr="00473BCE" w:rsidRDefault="00A922C7" w:rsidP="006343E4">
      <w:pPr>
        <w:pStyle w:val="ListParagraph"/>
        <w:numPr>
          <w:ilvl w:val="0"/>
          <w:numId w:val="4"/>
        </w:numPr>
        <w:spacing w:after="0" w:line="240" w:lineRule="auto"/>
        <w:ind w:left="426" w:hanging="426"/>
        <w:rPr>
          <w:rFonts w:ascii="Arial" w:hAnsi="Arial" w:cs="Arial"/>
          <w:sz w:val="24"/>
          <w:szCs w:val="24"/>
        </w:rPr>
      </w:pPr>
      <w:r w:rsidRPr="00473BCE">
        <w:rPr>
          <w:rFonts w:ascii="Arial" w:hAnsi="Arial" w:cs="Arial"/>
          <w:sz w:val="24"/>
          <w:szCs w:val="24"/>
        </w:rPr>
        <w:t>The Mental Capacity Act 2005 provides for the Court of Protection to make decisions in relation to the property and affairs, healthcare and personal welfare of adults (and in certain cases, children) who lack capacity. The Court has the same rights, privileges and authority in relation to mental capacity matters as the High Court. The Court has the powers to:</w:t>
      </w:r>
    </w:p>
    <w:p w14:paraId="4CA5BCB0"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Decide whether a person has capacity to make a particular decision for themselves;</w:t>
      </w:r>
    </w:p>
    <w:p w14:paraId="0D4492D1"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Make declarations, decisions or orders on financial or welfare matter affecting people who lack capacity to make such decisions;</w:t>
      </w:r>
    </w:p>
    <w:p w14:paraId="1AC11E77"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lastRenderedPageBreak/>
        <w:t>Appoint deputies to make decisions for people lacking capacity to make those decisions;</w:t>
      </w:r>
    </w:p>
    <w:p w14:paraId="7DBA7A18"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Decide whether an LPA or EPA is valid;</w:t>
      </w:r>
    </w:p>
    <w:p w14:paraId="75EAD3C4"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Remove deputies or attorneys who fail to carry out their duties; and</w:t>
      </w:r>
    </w:p>
    <w:p w14:paraId="4CCAF984"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Hear cases concerning objections to register an LPA or EPA.</w:t>
      </w:r>
    </w:p>
    <w:p w14:paraId="21D32BC6" w14:textId="77777777" w:rsidR="00A922C7" w:rsidRPr="00E51A11" w:rsidRDefault="00A922C7" w:rsidP="00E51A11">
      <w:pPr>
        <w:pStyle w:val="ListParagraph"/>
        <w:numPr>
          <w:ilvl w:val="0"/>
          <w:numId w:val="17"/>
        </w:numPr>
        <w:spacing w:after="0" w:line="240" w:lineRule="auto"/>
        <w:rPr>
          <w:rFonts w:ascii="Arial" w:hAnsi="Arial" w:cs="Arial"/>
          <w:sz w:val="24"/>
          <w:szCs w:val="24"/>
        </w:rPr>
      </w:pPr>
      <w:r w:rsidRPr="00E51A11">
        <w:rPr>
          <w:rFonts w:ascii="Arial" w:hAnsi="Arial" w:cs="Arial"/>
          <w:sz w:val="24"/>
          <w:szCs w:val="24"/>
        </w:rPr>
        <w:t>In reaching any decision, the Court must apply the statutory principles set out in the Mental Capacity Act. It must also make sure its decision is in the best interests of the person who lacks capacity.</w:t>
      </w:r>
    </w:p>
    <w:p w14:paraId="3D431735" w14:textId="77777777" w:rsidR="00A922C7" w:rsidRPr="001C73BE" w:rsidRDefault="00A922C7" w:rsidP="006343E4">
      <w:pPr>
        <w:pStyle w:val="ListParagraph"/>
        <w:numPr>
          <w:ilvl w:val="0"/>
          <w:numId w:val="4"/>
        </w:numPr>
        <w:spacing w:after="0" w:line="240" w:lineRule="auto"/>
        <w:ind w:left="426" w:hanging="426"/>
        <w:rPr>
          <w:rFonts w:ascii="Arial" w:hAnsi="Arial" w:cs="Arial"/>
          <w:sz w:val="24"/>
          <w:szCs w:val="24"/>
        </w:rPr>
      </w:pPr>
      <w:r w:rsidRPr="001C73BE">
        <w:rPr>
          <w:rFonts w:ascii="Arial" w:hAnsi="Arial" w:cs="Arial"/>
          <w:sz w:val="24"/>
          <w:szCs w:val="24"/>
        </w:rPr>
        <w:t>Criminal Prosecution - the Police can consider whether a perpetrator of financial abuse may be prosecuted for theft under the Theft Act 1968 - or for fraud by virtue of abuse of position under the Fraud Act 2006</w:t>
      </w:r>
    </w:p>
    <w:p w14:paraId="51DE22A5" w14:textId="77777777" w:rsidR="00A922C7" w:rsidRDefault="00A922C7" w:rsidP="001C73BE">
      <w:pPr>
        <w:pStyle w:val="ListParagraph"/>
        <w:spacing w:after="0" w:line="240" w:lineRule="auto"/>
        <w:ind w:left="426"/>
        <w:rPr>
          <w:rFonts w:ascii="Arial" w:hAnsi="Arial" w:cs="Arial"/>
          <w:sz w:val="24"/>
          <w:szCs w:val="24"/>
        </w:rPr>
      </w:pPr>
    </w:p>
    <w:p w14:paraId="51E3FE57" w14:textId="77777777" w:rsidR="005B4CE0" w:rsidRPr="001C73BE" w:rsidRDefault="005B4CE0" w:rsidP="001C73BE">
      <w:pPr>
        <w:pStyle w:val="ListParagraph"/>
        <w:spacing w:after="0" w:line="240" w:lineRule="auto"/>
        <w:ind w:left="426"/>
        <w:rPr>
          <w:rFonts w:ascii="Arial" w:hAnsi="Arial" w:cs="Arial"/>
          <w:sz w:val="24"/>
          <w:szCs w:val="24"/>
        </w:rPr>
      </w:pPr>
    </w:p>
    <w:p w14:paraId="32A126C0" w14:textId="77777777" w:rsidR="00A922C7" w:rsidRDefault="00D778C4" w:rsidP="001C73BE">
      <w:pPr>
        <w:pStyle w:val="ListParagraph"/>
        <w:spacing w:after="0" w:line="240" w:lineRule="auto"/>
        <w:ind w:left="0"/>
        <w:rPr>
          <w:rFonts w:ascii="Arial" w:hAnsi="Arial" w:cs="Arial"/>
          <w:b/>
          <w:color w:val="00B0F0"/>
          <w:sz w:val="24"/>
          <w:szCs w:val="24"/>
        </w:rPr>
      </w:pPr>
      <w:r w:rsidRPr="00D778C4">
        <w:rPr>
          <w:rFonts w:ascii="Arial" w:hAnsi="Arial" w:cs="Arial"/>
          <w:b/>
          <w:color w:val="00B0F0"/>
          <w:sz w:val="24"/>
          <w:szCs w:val="24"/>
        </w:rPr>
        <w:t>5.1.7</w:t>
      </w:r>
      <w:r w:rsidRPr="00D778C4">
        <w:rPr>
          <w:rFonts w:ascii="Arial" w:hAnsi="Arial" w:cs="Arial"/>
          <w:b/>
          <w:color w:val="00B0F0"/>
          <w:sz w:val="24"/>
          <w:szCs w:val="24"/>
        </w:rPr>
        <w:tab/>
      </w:r>
      <w:r w:rsidR="00A922C7" w:rsidRPr="00D778C4">
        <w:rPr>
          <w:rFonts w:ascii="Arial" w:hAnsi="Arial" w:cs="Arial"/>
          <w:b/>
          <w:color w:val="00B0F0"/>
          <w:sz w:val="24"/>
          <w:szCs w:val="24"/>
        </w:rPr>
        <w:t>Support to Individual and Family</w:t>
      </w:r>
    </w:p>
    <w:p w14:paraId="6B5850BD" w14:textId="77777777" w:rsidR="005B4CE0" w:rsidRPr="00D778C4" w:rsidRDefault="005B4CE0" w:rsidP="001C73BE">
      <w:pPr>
        <w:pStyle w:val="ListParagraph"/>
        <w:spacing w:after="0" w:line="240" w:lineRule="auto"/>
        <w:ind w:left="0"/>
        <w:rPr>
          <w:rFonts w:ascii="Arial" w:hAnsi="Arial" w:cs="Arial"/>
          <w:b/>
          <w:color w:val="00B0F0"/>
          <w:sz w:val="24"/>
          <w:szCs w:val="24"/>
        </w:rPr>
      </w:pPr>
    </w:p>
    <w:p w14:paraId="361E5D52" w14:textId="54CD2A10" w:rsidR="00A922C7" w:rsidRDefault="00A922C7" w:rsidP="001C73BE">
      <w:pPr>
        <w:spacing w:after="0" w:line="240" w:lineRule="auto"/>
        <w:rPr>
          <w:rFonts w:ascii="Arial" w:hAnsi="Arial" w:cs="Arial"/>
          <w:sz w:val="24"/>
          <w:szCs w:val="24"/>
        </w:rPr>
      </w:pPr>
      <w:r w:rsidRPr="001C73BE">
        <w:rPr>
          <w:rFonts w:ascii="Arial" w:hAnsi="Arial" w:cs="Arial"/>
          <w:sz w:val="24"/>
          <w:szCs w:val="24"/>
        </w:rPr>
        <w:t>Duty to assess under the Care Act 2014, section 9 (assessment of an adult’s needs for care and support) and section 10 (assessment of</w:t>
      </w:r>
      <w:r w:rsidR="00941D9F">
        <w:rPr>
          <w:rFonts w:ascii="Arial" w:hAnsi="Arial" w:cs="Arial"/>
          <w:sz w:val="24"/>
          <w:szCs w:val="24"/>
        </w:rPr>
        <w:t xml:space="preserve"> a carer’s needs for support). Section 18 covers the duty to provide support. </w:t>
      </w:r>
      <w:r w:rsidRPr="001C73BE">
        <w:rPr>
          <w:rFonts w:ascii="Arial" w:hAnsi="Arial" w:cs="Arial"/>
          <w:sz w:val="24"/>
          <w:szCs w:val="24"/>
        </w:rPr>
        <w:t>The Local Authority may be able to help manage some adult protection concerns by completing a formal assessment and putting in a care package or higher support to the individual and/or family.</w:t>
      </w:r>
    </w:p>
    <w:p w14:paraId="5DA2002B" w14:textId="08D41446" w:rsidR="000F7242" w:rsidRDefault="000F7242" w:rsidP="001C73BE">
      <w:pPr>
        <w:spacing w:after="0" w:line="240" w:lineRule="auto"/>
        <w:rPr>
          <w:rFonts w:ascii="Arial" w:hAnsi="Arial" w:cs="Arial"/>
          <w:sz w:val="24"/>
          <w:szCs w:val="24"/>
        </w:rPr>
      </w:pPr>
    </w:p>
    <w:p w14:paraId="4B1A87B6" w14:textId="212E5406" w:rsidR="003675F5" w:rsidRPr="001C73BE" w:rsidRDefault="003675F5" w:rsidP="001C73BE">
      <w:pPr>
        <w:spacing w:after="0" w:line="240" w:lineRule="auto"/>
        <w:rPr>
          <w:rFonts w:ascii="Arial" w:hAnsi="Arial" w:cs="Arial"/>
          <w:sz w:val="24"/>
          <w:szCs w:val="24"/>
        </w:rPr>
      </w:pPr>
      <w:r w:rsidRPr="003675F5">
        <w:rPr>
          <w:rFonts w:ascii="Arial" w:hAnsi="Arial" w:cs="Arial"/>
          <w:sz w:val="24"/>
          <w:szCs w:val="24"/>
        </w:rPr>
        <w:t>The Care Act 2014 states that some people are legally entitled to an independent advocate to support them. This can be to understand and participate in health and social care assessments, support plans, reviews or safeguarding enquiries. It can be for assessments for their care needs, or for their needs as a carer</w:t>
      </w:r>
    </w:p>
    <w:p w14:paraId="45EED39A" w14:textId="77777777" w:rsidR="005B4CE0" w:rsidRPr="005B4CE0" w:rsidRDefault="005B4CE0" w:rsidP="005B4CE0">
      <w:pPr>
        <w:spacing w:after="0" w:line="240" w:lineRule="auto"/>
        <w:rPr>
          <w:rFonts w:ascii="Arial" w:hAnsi="Arial" w:cs="Arial"/>
          <w:sz w:val="24"/>
          <w:szCs w:val="24"/>
        </w:rPr>
      </w:pPr>
    </w:p>
    <w:p w14:paraId="7638995A" w14:textId="77777777" w:rsidR="00A922C7" w:rsidRDefault="00D778C4" w:rsidP="001C73BE">
      <w:pPr>
        <w:pStyle w:val="ListParagraph"/>
        <w:spacing w:after="0" w:line="240" w:lineRule="auto"/>
        <w:ind w:left="0"/>
        <w:rPr>
          <w:rFonts w:ascii="Arial" w:hAnsi="Arial" w:cs="Arial"/>
          <w:b/>
          <w:color w:val="00B0F0"/>
          <w:sz w:val="24"/>
          <w:szCs w:val="24"/>
        </w:rPr>
      </w:pPr>
      <w:r w:rsidRPr="00D778C4">
        <w:rPr>
          <w:rFonts w:ascii="Arial" w:hAnsi="Arial" w:cs="Arial"/>
          <w:b/>
          <w:color w:val="00B0F0"/>
          <w:sz w:val="24"/>
          <w:szCs w:val="24"/>
        </w:rPr>
        <w:t>5.1.8</w:t>
      </w:r>
      <w:r w:rsidRPr="00D778C4">
        <w:rPr>
          <w:rFonts w:ascii="Arial" w:hAnsi="Arial" w:cs="Arial"/>
          <w:b/>
          <w:color w:val="00B0F0"/>
          <w:sz w:val="24"/>
          <w:szCs w:val="24"/>
        </w:rPr>
        <w:tab/>
      </w:r>
      <w:r w:rsidR="00A922C7" w:rsidRPr="00D778C4">
        <w:rPr>
          <w:rFonts w:ascii="Arial" w:hAnsi="Arial" w:cs="Arial"/>
          <w:b/>
          <w:color w:val="00B0F0"/>
          <w:sz w:val="24"/>
          <w:szCs w:val="24"/>
        </w:rPr>
        <w:t>Prosecution</w:t>
      </w:r>
    </w:p>
    <w:p w14:paraId="74600CCD" w14:textId="77777777" w:rsidR="005B4CE0" w:rsidRPr="00D778C4" w:rsidRDefault="005B4CE0" w:rsidP="001C73BE">
      <w:pPr>
        <w:pStyle w:val="ListParagraph"/>
        <w:spacing w:after="0" w:line="240" w:lineRule="auto"/>
        <w:ind w:left="0"/>
        <w:rPr>
          <w:rFonts w:ascii="Arial" w:hAnsi="Arial" w:cs="Arial"/>
          <w:b/>
          <w:color w:val="00B0F0"/>
          <w:sz w:val="24"/>
          <w:szCs w:val="24"/>
        </w:rPr>
      </w:pPr>
    </w:p>
    <w:p w14:paraId="23D7FF19" w14:textId="77777777" w:rsidR="00A922C7" w:rsidRPr="001C73BE" w:rsidRDefault="00A922C7" w:rsidP="001C73BE">
      <w:pPr>
        <w:pStyle w:val="ListParagraph"/>
        <w:numPr>
          <w:ilvl w:val="0"/>
          <w:numId w:val="7"/>
        </w:numPr>
        <w:spacing w:after="0" w:line="240" w:lineRule="auto"/>
        <w:rPr>
          <w:rFonts w:ascii="Arial" w:hAnsi="Arial" w:cs="Arial"/>
          <w:sz w:val="24"/>
          <w:szCs w:val="24"/>
        </w:rPr>
      </w:pPr>
      <w:r w:rsidRPr="001C73BE">
        <w:rPr>
          <w:rFonts w:ascii="Arial" w:hAnsi="Arial" w:cs="Arial"/>
          <w:sz w:val="24"/>
          <w:szCs w:val="24"/>
        </w:rPr>
        <w:t>Criminal law - statute and common law can be considered.</w:t>
      </w:r>
    </w:p>
    <w:p w14:paraId="306227D7" w14:textId="77777777" w:rsidR="00A922C7" w:rsidRPr="001C73BE" w:rsidRDefault="00A922C7" w:rsidP="001C73BE">
      <w:pPr>
        <w:pStyle w:val="ListParagraph"/>
        <w:numPr>
          <w:ilvl w:val="0"/>
          <w:numId w:val="7"/>
        </w:numPr>
        <w:spacing w:after="0" w:line="240" w:lineRule="auto"/>
        <w:rPr>
          <w:rFonts w:ascii="Arial" w:hAnsi="Arial" w:cs="Arial"/>
          <w:sz w:val="24"/>
          <w:szCs w:val="24"/>
        </w:rPr>
      </w:pPr>
      <w:r w:rsidRPr="001C73BE">
        <w:rPr>
          <w:rFonts w:ascii="Arial" w:hAnsi="Arial" w:cs="Arial"/>
          <w:sz w:val="24"/>
          <w:szCs w:val="24"/>
        </w:rPr>
        <w:t>Investigation by Police and Crown Prosecution Service to prosecute perpetrators.</w:t>
      </w:r>
    </w:p>
    <w:p w14:paraId="409F4111" w14:textId="77777777" w:rsidR="00A922C7" w:rsidRDefault="00A922C7" w:rsidP="001C73BE">
      <w:pPr>
        <w:pStyle w:val="ListParagraph"/>
        <w:spacing w:after="0" w:line="240" w:lineRule="auto"/>
        <w:rPr>
          <w:rFonts w:ascii="Arial" w:hAnsi="Arial" w:cs="Arial"/>
          <w:sz w:val="24"/>
          <w:szCs w:val="24"/>
        </w:rPr>
      </w:pPr>
    </w:p>
    <w:p w14:paraId="388FFA79" w14:textId="77777777" w:rsidR="005B4CE0" w:rsidRPr="001C73BE" w:rsidRDefault="005B4CE0" w:rsidP="001C73BE">
      <w:pPr>
        <w:pStyle w:val="ListParagraph"/>
        <w:spacing w:after="0" w:line="240" w:lineRule="auto"/>
        <w:rPr>
          <w:rFonts w:ascii="Arial" w:hAnsi="Arial" w:cs="Arial"/>
          <w:sz w:val="24"/>
          <w:szCs w:val="24"/>
        </w:rPr>
      </w:pPr>
    </w:p>
    <w:p w14:paraId="0688D0DF" w14:textId="77777777" w:rsidR="00A922C7" w:rsidRDefault="00D778C4" w:rsidP="001C73BE">
      <w:pPr>
        <w:pStyle w:val="ListParagraph"/>
        <w:spacing w:after="0" w:line="240" w:lineRule="auto"/>
        <w:ind w:left="0"/>
        <w:rPr>
          <w:rFonts w:ascii="Arial" w:hAnsi="Arial" w:cs="Arial"/>
          <w:b/>
          <w:color w:val="00B0F0"/>
          <w:sz w:val="24"/>
          <w:szCs w:val="24"/>
        </w:rPr>
      </w:pPr>
      <w:r w:rsidRPr="00D778C4">
        <w:rPr>
          <w:rFonts w:ascii="Arial" w:hAnsi="Arial" w:cs="Arial"/>
          <w:b/>
          <w:color w:val="00B0F0"/>
          <w:sz w:val="24"/>
          <w:szCs w:val="24"/>
        </w:rPr>
        <w:t>5.1.9</w:t>
      </w:r>
      <w:r w:rsidRPr="00D778C4">
        <w:rPr>
          <w:rFonts w:ascii="Arial" w:hAnsi="Arial" w:cs="Arial"/>
          <w:b/>
          <w:color w:val="00B0F0"/>
          <w:sz w:val="24"/>
          <w:szCs w:val="24"/>
        </w:rPr>
        <w:tab/>
      </w:r>
      <w:r w:rsidR="00767048">
        <w:rPr>
          <w:rFonts w:ascii="Arial" w:hAnsi="Arial" w:cs="Arial"/>
          <w:b/>
          <w:color w:val="00B0F0"/>
          <w:sz w:val="24"/>
          <w:szCs w:val="24"/>
        </w:rPr>
        <w:t xml:space="preserve">Removal of the person </w:t>
      </w:r>
      <w:r w:rsidR="00767048" w:rsidRPr="00B25454">
        <w:rPr>
          <w:rFonts w:ascii="Arial" w:hAnsi="Arial" w:cs="Arial"/>
          <w:b/>
          <w:color w:val="00B0F0"/>
          <w:sz w:val="24"/>
          <w:szCs w:val="24"/>
        </w:rPr>
        <w:t>who is causing harm</w:t>
      </w:r>
    </w:p>
    <w:p w14:paraId="49C1B77B" w14:textId="77777777" w:rsidR="005B4CE0" w:rsidRPr="00767048" w:rsidRDefault="005B4CE0" w:rsidP="001C73BE">
      <w:pPr>
        <w:pStyle w:val="ListParagraph"/>
        <w:spacing w:after="0" w:line="240" w:lineRule="auto"/>
        <w:ind w:left="0"/>
        <w:rPr>
          <w:rFonts w:ascii="Arial" w:hAnsi="Arial" w:cs="Arial"/>
          <w:b/>
          <w:color w:val="FF0000"/>
          <w:sz w:val="24"/>
          <w:szCs w:val="24"/>
        </w:rPr>
      </w:pPr>
    </w:p>
    <w:p w14:paraId="27A8B391" w14:textId="77777777" w:rsidR="00A922C7" w:rsidRPr="001C73BE" w:rsidRDefault="00A922C7" w:rsidP="001C73BE">
      <w:pPr>
        <w:pStyle w:val="ListParagraph"/>
        <w:numPr>
          <w:ilvl w:val="0"/>
          <w:numId w:val="8"/>
        </w:numPr>
        <w:spacing w:after="0" w:line="240" w:lineRule="auto"/>
        <w:ind w:left="709" w:hanging="283"/>
        <w:rPr>
          <w:rFonts w:ascii="Arial" w:hAnsi="Arial" w:cs="Arial"/>
          <w:sz w:val="24"/>
          <w:szCs w:val="24"/>
        </w:rPr>
      </w:pPr>
      <w:r w:rsidRPr="001C73BE">
        <w:rPr>
          <w:rFonts w:ascii="Arial" w:hAnsi="Arial" w:cs="Arial"/>
          <w:sz w:val="24"/>
          <w:szCs w:val="24"/>
        </w:rPr>
        <w:t>Consider whether to involve the Police.</w:t>
      </w:r>
    </w:p>
    <w:p w14:paraId="0DFD78E7" w14:textId="77777777" w:rsidR="00A922C7" w:rsidRPr="00B25454" w:rsidRDefault="00A922C7" w:rsidP="001C73BE">
      <w:pPr>
        <w:pStyle w:val="ListParagraph"/>
        <w:numPr>
          <w:ilvl w:val="0"/>
          <w:numId w:val="8"/>
        </w:numPr>
        <w:spacing w:after="0" w:line="240" w:lineRule="auto"/>
        <w:ind w:left="709" w:hanging="283"/>
        <w:rPr>
          <w:rFonts w:ascii="Arial" w:hAnsi="Arial" w:cs="Arial"/>
          <w:sz w:val="24"/>
          <w:szCs w:val="24"/>
        </w:rPr>
      </w:pPr>
      <w:r w:rsidRPr="001C73BE">
        <w:rPr>
          <w:rFonts w:ascii="Arial" w:hAnsi="Arial" w:cs="Arial"/>
          <w:sz w:val="24"/>
          <w:szCs w:val="24"/>
        </w:rPr>
        <w:t xml:space="preserve">Consider Family Law Act </w:t>
      </w:r>
      <w:r w:rsidRPr="00B25454">
        <w:rPr>
          <w:rFonts w:ascii="Arial" w:hAnsi="Arial" w:cs="Arial"/>
          <w:sz w:val="24"/>
          <w:szCs w:val="24"/>
        </w:rPr>
        <w:t>1996 injunctions; non-molestation and occupation orders.</w:t>
      </w:r>
    </w:p>
    <w:p w14:paraId="5013E45F" w14:textId="77777777" w:rsidR="00A922C7" w:rsidRPr="00B25454" w:rsidRDefault="00A922C7" w:rsidP="001C73BE">
      <w:pPr>
        <w:pStyle w:val="ListParagraph"/>
        <w:numPr>
          <w:ilvl w:val="0"/>
          <w:numId w:val="8"/>
        </w:numPr>
        <w:spacing w:after="0" w:line="240" w:lineRule="auto"/>
        <w:ind w:left="709" w:hanging="283"/>
        <w:rPr>
          <w:rFonts w:ascii="Arial" w:hAnsi="Arial" w:cs="Arial"/>
          <w:sz w:val="24"/>
          <w:szCs w:val="24"/>
        </w:rPr>
      </w:pPr>
      <w:r w:rsidRPr="00B25454">
        <w:rPr>
          <w:rFonts w:ascii="Arial" w:hAnsi="Arial" w:cs="Arial"/>
          <w:sz w:val="24"/>
          <w:szCs w:val="24"/>
        </w:rPr>
        <w:t>Civil injunction - would need the individual to take legal advice from an independent solicitor or Citizen's Advice Bureau.</w:t>
      </w:r>
    </w:p>
    <w:p w14:paraId="262D0208" w14:textId="77777777" w:rsidR="00A922C7" w:rsidRPr="001C73BE" w:rsidRDefault="00A922C7" w:rsidP="001C73BE">
      <w:pPr>
        <w:pStyle w:val="ListParagraph"/>
        <w:numPr>
          <w:ilvl w:val="0"/>
          <w:numId w:val="8"/>
        </w:numPr>
        <w:spacing w:after="0" w:line="240" w:lineRule="auto"/>
        <w:ind w:left="709" w:hanging="283"/>
        <w:rPr>
          <w:rFonts w:ascii="Arial" w:hAnsi="Arial" w:cs="Arial"/>
          <w:sz w:val="24"/>
          <w:szCs w:val="24"/>
        </w:rPr>
      </w:pPr>
      <w:r w:rsidRPr="00B25454">
        <w:rPr>
          <w:rFonts w:ascii="Arial" w:hAnsi="Arial" w:cs="Arial"/>
          <w:sz w:val="24"/>
          <w:szCs w:val="24"/>
        </w:rPr>
        <w:t>Mental Health Act 1983 - would apply if there is a mental disord</w:t>
      </w:r>
      <w:r w:rsidR="00767048" w:rsidRPr="00B25454">
        <w:rPr>
          <w:rFonts w:ascii="Arial" w:hAnsi="Arial" w:cs="Arial"/>
          <w:sz w:val="24"/>
          <w:szCs w:val="24"/>
        </w:rPr>
        <w:t>er and would allow a person causing harm</w:t>
      </w:r>
      <w:r w:rsidRPr="00B25454">
        <w:rPr>
          <w:rFonts w:ascii="Arial" w:hAnsi="Arial" w:cs="Arial"/>
          <w:sz w:val="24"/>
          <w:szCs w:val="24"/>
        </w:rPr>
        <w:t xml:space="preserve"> in </w:t>
      </w:r>
      <w:r w:rsidRPr="001C73BE">
        <w:rPr>
          <w:rFonts w:ascii="Arial" w:hAnsi="Arial" w:cs="Arial"/>
          <w:sz w:val="24"/>
          <w:szCs w:val="24"/>
        </w:rPr>
        <w:t>certain circumstances to be removed for assessment and/or treatment.</w:t>
      </w:r>
    </w:p>
    <w:p w14:paraId="322DB4FD" w14:textId="6B8AD1FF" w:rsidR="005B4CE0" w:rsidRPr="00C04DEB" w:rsidRDefault="005B4CE0" w:rsidP="00C04DEB">
      <w:pPr>
        <w:spacing w:after="0" w:line="240" w:lineRule="auto"/>
        <w:rPr>
          <w:rFonts w:ascii="Arial" w:hAnsi="Arial" w:cs="Arial"/>
          <w:b/>
          <w:sz w:val="24"/>
          <w:szCs w:val="24"/>
          <w:u w:val="single"/>
        </w:rPr>
      </w:pPr>
    </w:p>
    <w:p w14:paraId="1E851F6F" w14:textId="77777777" w:rsidR="00A922C7" w:rsidRDefault="00D778C4" w:rsidP="001C73BE">
      <w:pPr>
        <w:pStyle w:val="ListParagraph"/>
        <w:spacing w:after="0" w:line="240" w:lineRule="auto"/>
        <w:ind w:left="0"/>
        <w:rPr>
          <w:rFonts w:ascii="Arial" w:hAnsi="Arial" w:cs="Arial"/>
          <w:b/>
          <w:color w:val="00B0F0"/>
          <w:sz w:val="24"/>
          <w:szCs w:val="24"/>
        </w:rPr>
      </w:pPr>
      <w:r w:rsidRPr="00D778C4">
        <w:rPr>
          <w:rFonts w:ascii="Arial" w:hAnsi="Arial" w:cs="Arial"/>
          <w:b/>
          <w:color w:val="00B0F0"/>
          <w:sz w:val="24"/>
          <w:szCs w:val="24"/>
        </w:rPr>
        <w:t>5.1.10</w:t>
      </w:r>
      <w:r w:rsidRPr="00D778C4">
        <w:rPr>
          <w:rFonts w:ascii="Arial" w:hAnsi="Arial" w:cs="Arial"/>
          <w:b/>
          <w:color w:val="00B0F0"/>
          <w:sz w:val="24"/>
          <w:szCs w:val="24"/>
        </w:rPr>
        <w:tab/>
        <w:t xml:space="preserve"> </w:t>
      </w:r>
      <w:r w:rsidR="00A922C7" w:rsidRPr="00D778C4">
        <w:rPr>
          <w:rFonts w:ascii="Arial" w:hAnsi="Arial" w:cs="Arial"/>
          <w:b/>
          <w:color w:val="00B0F0"/>
          <w:sz w:val="24"/>
          <w:szCs w:val="24"/>
        </w:rPr>
        <w:t>Removal of Subject</w:t>
      </w:r>
    </w:p>
    <w:p w14:paraId="7413B0C6" w14:textId="77777777" w:rsidR="005B4CE0" w:rsidRPr="00D778C4" w:rsidRDefault="005B4CE0" w:rsidP="001C73BE">
      <w:pPr>
        <w:pStyle w:val="ListParagraph"/>
        <w:spacing w:after="0" w:line="240" w:lineRule="auto"/>
        <w:ind w:left="0"/>
        <w:rPr>
          <w:rFonts w:ascii="Arial" w:hAnsi="Arial" w:cs="Arial"/>
          <w:b/>
          <w:color w:val="00B0F0"/>
          <w:sz w:val="24"/>
          <w:szCs w:val="24"/>
        </w:rPr>
      </w:pPr>
    </w:p>
    <w:p w14:paraId="327198C3" w14:textId="323AD599" w:rsidR="00A922C7" w:rsidRPr="001C73BE" w:rsidRDefault="00A922C7" w:rsidP="001C73BE">
      <w:pPr>
        <w:pStyle w:val="ListParagraph"/>
        <w:numPr>
          <w:ilvl w:val="0"/>
          <w:numId w:val="9"/>
        </w:numPr>
        <w:spacing w:after="0" w:line="240" w:lineRule="auto"/>
        <w:ind w:left="709" w:hanging="283"/>
        <w:rPr>
          <w:rFonts w:ascii="Arial" w:hAnsi="Arial" w:cs="Arial"/>
          <w:sz w:val="24"/>
          <w:szCs w:val="24"/>
        </w:rPr>
      </w:pPr>
      <w:r w:rsidRPr="001C73BE">
        <w:rPr>
          <w:rFonts w:ascii="Arial" w:hAnsi="Arial" w:cs="Arial"/>
          <w:sz w:val="24"/>
          <w:szCs w:val="24"/>
        </w:rPr>
        <w:t xml:space="preserve">Section 42 Care Act 2014 - local authority’s duty to make enquiries where it has reasonable cause to suspect that an adult </w:t>
      </w:r>
      <w:r w:rsidR="00C04DEB">
        <w:rPr>
          <w:rFonts w:ascii="Arial" w:hAnsi="Arial" w:cs="Arial"/>
          <w:sz w:val="24"/>
          <w:szCs w:val="24"/>
        </w:rPr>
        <w:t xml:space="preserve">has care or support needs and </w:t>
      </w:r>
      <w:r w:rsidRPr="001C73BE">
        <w:rPr>
          <w:rFonts w:ascii="Arial" w:hAnsi="Arial" w:cs="Arial"/>
          <w:sz w:val="24"/>
          <w:szCs w:val="24"/>
        </w:rPr>
        <w:lastRenderedPageBreak/>
        <w:t xml:space="preserve">is experiencing, or </w:t>
      </w:r>
      <w:r w:rsidR="00C04DEB">
        <w:rPr>
          <w:rFonts w:ascii="Arial" w:hAnsi="Arial" w:cs="Arial"/>
          <w:sz w:val="24"/>
          <w:szCs w:val="24"/>
        </w:rPr>
        <w:t>is at risk of, Abuse or Neglect, and is unable to protect themselves.</w:t>
      </w:r>
    </w:p>
    <w:p w14:paraId="4AFE3BFE" w14:textId="77777777" w:rsidR="00A922C7" w:rsidRPr="001C73BE" w:rsidRDefault="00A922C7" w:rsidP="001C73BE">
      <w:pPr>
        <w:pStyle w:val="ListParagraph"/>
        <w:numPr>
          <w:ilvl w:val="0"/>
          <w:numId w:val="9"/>
        </w:numPr>
        <w:spacing w:after="0" w:line="240" w:lineRule="auto"/>
        <w:ind w:left="709" w:hanging="283"/>
        <w:rPr>
          <w:rFonts w:ascii="Arial" w:hAnsi="Arial" w:cs="Arial"/>
          <w:sz w:val="24"/>
          <w:szCs w:val="24"/>
        </w:rPr>
      </w:pPr>
      <w:r w:rsidRPr="001C73BE">
        <w:rPr>
          <w:rFonts w:ascii="Arial" w:hAnsi="Arial" w:cs="Arial"/>
          <w:sz w:val="24"/>
          <w:szCs w:val="24"/>
        </w:rPr>
        <w:t>Mental Health Act 1983 - removal for assessment and/or treatment.</w:t>
      </w:r>
    </w:p>
    <w:p w14:paraId="1650603C" w14:textId="162113E5" w:rsidR="00254922" w:rsidRDefault="00254922" w:rsidP="001C73BE">
      <w:pPr>
        <w:spacing w:after="0" w:line="240" w:lineRule="auto"/>
        <w:rPr>
          <w:rFonts w:ascii="Arial" w:hAnsi="Arial" w:cs="Arial"/>
          <w:b/>
          <w:color w:val="00B0F0"/>
          <w:sz w:val="24"/>
          <w:szCs w:val="24"/>
        </w:rPr>
      </w:pPr>
    </w:p>
    <w:p w14:paraId="0E04EC58" w14:textId="44E8CBB3" w:rsidR="00C04DEB" w:rsidRPr="00C04DEB" w:rsidRDefault="00C04DEB" w:rsidP="001C73BE">
      <w:pPr>
        <w:spacing w:after="0" w:line="240" w:lineRule="auto"/>
        <w:rPr>
          <w:rFonts w:ascii="Arial" w:hAnsi="Arial" w:cs="Arial"/>
          <w:sz w:val="24"/>
          <w:szCs w:val="24"/>
        </w:rPr>
      </w:pPr>
      <w:r w:rsidRPr="00C04DEB">
        <w:rPr>
          <w:rFonts w:ascii="Arial" w:hAnsi="Arial" w:cs="Arial"/>
          <w:sz w:val="24"/>
          <w:szCs w:val="24"/>
        </w:rPr>
        <w:t xml:space="preserve">Through the safeguarding enquiry and alternative setting can be sought for the individual. </w:t>
      </w:r>
    </w:p>
    <w:p w14:paraId="48E18A46" w14:textId="77777777" w:rsidR="00586FAF" w:rsidRDefault="00586FAF" w:rsidP="001C73BE">
      <w:pPr>
        <w:spacing w:after="0" w:line="240" w:lineRule="auto"/>
        <w:rPr>
          <w:rFonts w:ascii="Arial" w:hAnsi="Arial" w:cs="Arial"/>
          <w:b/>
          <w:color w:val="00B0F0"/>
          <w:sz w:val="24"/>
          <w:szCs w:val="24"/>
        </w:rPr>
      </w:pPr>
    </w:p>
    <w:p w14:paraId="248892EC" w14:textId="073CF722" w:rsidR="002614D6" w:rsidRPr="001C73BE" w:rsidRDefault="002614D6" w:rsidP="001C73BE">
      <w:pPr>
        <w:spacing w:after="0" w:line="240" w:lineRule="auto"/>
        <w:rPr>
          <w:rFonts w:ascii="Arial" w:hAnsi="Arial" w:cs="Arial"/>
          <w:sz w:val="24"/>
          <w:szCs w:val="24"/>
        </w:rPr>
      </w:pPr>
      <w:r w:rsidRPr="001C73BE">
        <w:rPr>
          <w:rFonts w:ascii="Arial" w:hAnsi="Arial" w:cs="Arial"/>
          <w:b/>
          <w:color w:val="00B0F0"/>
          <w:sz w:val="24"/>
          <w:szCs w:val="24"/>
        </w:rPr>
        <w:t xml:space="preserve">Note – </w:t>
      </w:r>
      <w:r w:rsidRPr="001C73BE">
        <w:rPr>
          <w:rFonts w:ascii="Arial" w:hAnsi="Arial" w:cs="Arial"/>
          <w:sz w:val="24"/>
          <w:szCs w:val="24"/>
        </w:rPr>
        <w:t xml:space="preserve">Expert legal advice can be sought from </w:t>
      </w:r>
      <w:r w:rsidR="00AC1632">
        <w:rPr>
          <w:rFonts w:ascii="Arial" w:hAnsi="Arial" w:cs="Arial"/>
          <w:sz w:val="24"/>
          <w:szCs w:val="24"/>
        </w:rPr>
        <w:t>your organisation’s legal team where necessary.</w:t>
      </w:r>
    </w:p>
    <w:p w14:paraId="26793942" w14:textId="77777777" w:rsidR="002614D6" w:rsidRPr="001C73BE" w:rsidRDefault="002614D6" w:rsidP="001C73BE">
      <w:pPr>
        <w:spacing w:after="0" w:line="240" w:lineRule="auto"/>
        <w:rPr>
          <w:rFonts w:ascii="Arial" w:hAnsi="Arial" w:cs="Arial"/>
          <w:b/>
          <w:color w:val="00B0F0"/>
          <w:sz w:val="24"/>
          <w:szCs w:val="24"/>
        </w:rPr>
      </w:pPr>
    </w:p>
    <w:p w14:paraId="1396646F" w14:textId="77777777" w:rsidR="001C73BE" w:rsidRDefault="001C73BE" w:rsidP="001C73BE">
      <w:pPr>
        <w:spacing w:after="0" w:line="240" w:lineRule="auto"/>
        <w:rPr>
          <w:rFonts w:ascii="Arial" w:hAnsi="Arial" w:cs="Arial"/>
          <w:b/>
          <w:color w:val="00B0F0"/>
          <w:sz w:val="24"/>
          <w:szCs w:val="24"/>
        </w:rPr>
      </w:pPr>
    </w:p>
    <w:p w14:paraId="0B97A66F" w14:textId="77777777" w:rsidR="009F01DB" w:rsidRPr="001C73BE"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t>5.2</w:t>
      </w:r>
      <w:r>
        <w:rPr>
          <w:rFonts w:ascii="Arial" w:hAnsi="Arial" w:cs="Arial"/>
          <w:b/>
          <w:color w:val="00B0F0"/>
          <w:sz w:val="28"/>
          <w:szCs w:val="28"/>
        </w:rPr>
        <w:tab/>
      </w:r>
      <w:r w:rsidR="009F01DB" w:rsidRPr="005B4CE0">
        <w:rPr>
          <w:rFonts w:ascii="Arial" w:hAnsi="Arial" w:cs="Arial"/>
          <w:b/>
          <w:color w:val="00B0F0"/>
          <w:sz w:val="28"/>
          <w:szCs w:val="28"/>
        </w:rPr>
        <w:t>Safeguarding Adults and Human Rights</w:t>
      </w:r>
      <w:r w:rsidR="009F01DB" w:rsidRPr="001C73BE">
        <w:rPr>
          <w:rFonts w:ascii="Arial" w:hAnsi="Arial" w:cs="Arial"/>
          <w:b/>
          <w:color w:val="00B0F0"/>
          <w:sz w:val="28"/>
          <w:szCs w:val="28"/>
        </w:rPr>
        <w:t xml:space="preserve"> </w:t>
      </w:r>
    </w:p>
    <w:p w14:paraId="53D894F7" w14:textId="77777777" w:rsidR="00D778C4" w:rsidRDefault="00D778C4" w:rsidP="001C73BE">
      <w:pPr>
        <w:spacing w:after="0" w:line="240" w:lineRule="auto"/>
        <w:rPr>
          <w:rFonts w:ascii="Arial" w:hAnsi="Arial" w:cs="Arial"/>
          <w:sz w:val="24"/>
          <w:szCs w:val="24"/>
        </w:rPr>
      </w:pPr>
    </w:p>
    <w:p w14:paraId="36D79AC0"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Under the European Convention on Human Rights (ECHR), everyone has a number of rights, which the Human Rights Act 1998 makes directly enforceable in the UK Courts. The following are particularly relevant to safeguarding adults from abuse.</w:t>
      </w:r>
    </w:p>
    <w:p w14:paraId="08589B7C"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4A518E75"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Article 8 ECHR provides: 'Everyone has the right to respect for (their) private and family life, (their) home and correspondence'. Public authorities may only interfere with this right where this is '...in accordance with the law and is necessary in a democratic society in the interests of public safety; the prevention of disorder or crime; the protection of health or morals, or the protection of the rights and freedoms of others. The interference must be proportionate to the risk or other reason for acting.</w:t>
      </w:r>
    </w:p>
    <w:p w14:paraId="35D2F100"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78746650"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Article 3 provides: 'No-one shall be subjected to torture, or inhuman or degrading treatment or punishment'. Unlike Article 8, this is an absolute right: inhuman or degrading treatment is unlawful, whatever the situation.</w:t>
      </w:r>
    </w:p>
    <w:p w14:paraId="2485F8AF" w14:textId="77777777" w:rsidR="009F01DB" w:rsidRPr="001C73BE" w:rsidRDefault="009F01DB" w:rsidP="001C73BE">
      <w:pPr>
        <w:spacing w:after="0" w:line="240" w:lineRule="auto"/>
        <w:rPr>
          <w:rFonts w:ascii="Arial" w:hAnsi="Arial" w:cs="Arial"/>
          <w:sz w:val="24"/>
          <w:szCs w:val="24"/>
        </w:rPr>
      </w:pPr>
    </w:p>
    <w:p w14:paraId="42A22186"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Treatment may be degrading if it 'humiliates or debases an individual showing a lack of respect for, or diminishing his or her human dignity or arouses feelings of fear, anguish or inferiority capable of breaking an individual's moral and physical resistance'</w:t>
      </w:r>
    </w:p>
    <w:p w14:paraId="60ECE440" w14:textId="77777777" w:rsidR="009F01DB" w:rsidRPr="001C73BE" w:rsidRDefault="009F01DB" w:rsidP="001C73BE">
      <w:pPr>
        <w:spacing w:after="0" w:line="240" w:lineRule="auto"/>
        <w:rPr>
          <w:rFonts w:ascii="Arial" w:hAnsi="Arial" w:cs="Arial"/>
          <w:sz w:val="24"/>
          <w:szCs w:val="24"/>
        </w:rPr>
      </w:pPr>
    </w:p>
    <w:p w14:paraId="7AFD4B88"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Duty to protect: Public authorities have a proactive duty towards Adults at Risk to take "reasonable steps to prevent ill-treatment of which the authorities had or ought to have had knowledge". Public authorities may be considered to be responsible for the harm and therefore will be in breach of Article 3 even where they have merely failed to prevent degrading treatment, rather than caused it. People whose disabilities make them critically dependent on the help of others are entitled to enhanced protection.</w:t>
      </w:r>
    </w:p>
    <w:p w14:paraId="624789E7" w14:textId="77777777" w:rsidR="009F01DB" w:rsidRPr="001C73BE" w:rsidRDefault="009F01DB" w:rsidP="001C73BE">
      <w:pPr>
        <w:spacing w:after="0" w:line="240" w:lineRule="auto"/>
        <w:rPr>
          <w:rFonts w:ascii="Arial" w:hAnsi="Arial" w:cs="Arial"/>
          <w:sz w:val="24"/>
          <w:szCs w:val="24"/>
        </w:rPr>
      </w:pPr>
    </w:p>
    <w:p w14:paraId="6D825987"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Article 5: Right to liberty and security. Everyone has the right to liberty and security of person. No one should be deprived of their liberty apart from circumstances of lawful arrest and detention in accordance with legislation. </w:t>
      </w:r>
    </w:p>
    <w:p w14:paraId="3CB17E7D" w14:textId="77777777" w:rsidR="009F01DB" w:rsidRPr="001C73BE" w:rsidRDefault="009F01DB" w:rsidP="001C73BE">
      <w:pPr>
        <w:spacing w:after="0" w:line="240" w:lineRule="auto"/>
        <w:rPr>
          <w:rFonts w:ascii="Arial" w:hAnsi="Arial" w:cs="Arial"/>
          <w:sz w:val="24"/>
          <w:szCs w:val="24"/>
        </w:rPr>
      </w:pPr>
    </w:p>
    <w:p w14:paraId="004E515D"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Article 14 prohibits discrimination on any ground in the way that people access their rights under the Convention.</w:t>
      </w:r>
    </w:p>
    <w:p w14:paraId="579408FE"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lastRenderedPageBreak/>
        <w:t xml:space="preserve"> </w:t>
      </w:r>
    </w:p>
    <w:p w14:paraId="6529D88E"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Under Section 6 of the Human Rights Act 1998, it is unlawful for a public authority to act in a way which is incompatible with any right under the European Convention. A public authority includes any local authority, the police and Crown Prosecution Service, and any person "exercising a public function".</w:t>
      </w:r>
    </w:p>
    <w:p w14:paraId="1165B779"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063C686A" w14:textId="77777777" w:rsidR="00D778C4" w:rsidRDefault="00D778C4" w:rsidP="001C73BE">
      <w:pPr>
        <w:spacing w:after="0" w:line="240" w:lineRule="auto"/>
        <w:rPr>
          <w:rFonts w:ascii="Arial" w:hAnsi="Arial" w:cs="Arial"/>
          <w:b/>
          <w:color w:val="00B0F0"/>
          <w:sz w:val="28"/>
          <w:szCs w:val="28"/>
        </w:rPr>
      </w:pPr>
    </w:p>
    <w:p w14:paraId="567E5A9C" w14:textId="77777777" w:rsidR="009F01DB" w:rsidRPr="008D409A"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t>5.3</w:t>
      </w:r>
      <w:r>
        <w:rPr>
          <w:rFonts w:ascii="Arial" w:hAnsi="Arial" w:cs="Arial"/>
          <w:b/>
          <w:color w:val="00B0F0"/>
          <w:sz w:val="28"/>
          <w:szCs w:val="28"/>
        </w:rPr>
        <w:tab/>
      </w:r>
      <w:r w:rsidR="009F01DB" w:rsidRPr="005B4CE0">
        <w:rPr>
          <w:rFonts w:ascii="Arial" w:hAnsi="Arial" w:cs="Arial"/>
          <w:b/>
          <w:color w:val="00B0F0"/>
          <w:sz w:val="28"/>
          <w:szCs w:val="28"/>
        </w:rPr>
        <w:t>Health and Social Care Act 2008</w:t>
      </w:r>
    </w:p>
    <w:p w14:paraId="4867040A" w14:textId="77777777" w:rsidR="00D778C4" w:rsidRDefault="00D778C4" w:rsidP="008D409A">
      <w:pPr>
        <w:spacing w:after="0" w:line="240" w:lineRule="auto"/>
        <w:rPr>
          <w:rFonts w:ascii="Arial" w:hAnsi="Arial" w:cs="Arial"/>
          <w:sz w:val="24"/>
          <w:szCs w:val="24"/>
        </w:rPr>
      </w:pPr>
    </w:p>
    <w:p w14:paraId="3312C6A8" w14:textId="77777777" w:rsidR="009F01DB" w:rsidRPr="008D409A" w:rsidRDefault="009F01DB" w:rsidP="008D409A">
      <w:pPr>
        <w:spacing w:after="0" w:line="240" w:lineRule="auto"/>
        <w:rPr>
          <w:rFonts w:ascii="Arial" w:hAnsi="Arial" w:cs="Arial"/>
          <w:sz w:val="24"/>
          <w:szCs w:val="24"/>
        </w:rPr>
      </w:pPr>
      <w:r w:rsidRPr="008D409A">
        <w:rPr>
          <w:rFonts w:ascii="Arial" w:hAnsi="Arial" w:cs="Arial"/>
          <w:sz w:val="24"/>
          <w:szCs w:val="24"/>
        </w:rPr>
        <w:t>The Health and Social Care Act 2008 (HSCA 2008):</w:t>
      </w:r>
    </w:p>
    <w:p w14:paraId="725BD865" w14:textId="77777777" w:rsidR="009F01DB" w:rsidRPr="008D409A" w:rsidRDefault="00767048" w:rsidP="008D409A">
      <w:pPr>
        <w:pStyle w:val="ListParagraph"/>
        <w:numPr>
          <w:ilvl w:val="0"/>
          <w:numId w:val="11"/>
        </w:numPr>
        <w:spacing w:after="0" w:line="240" w:lineRule="auto"/>
        <w:rPr>
          <w:rFonts w:ascii="Arial" w:hAnsi="Arial" w:cs="Arial"/>
          <w:sz w:val="24"/>
          <w:szCs w:val="24"/>
        </w:rPr>
      </w:pPr>
      <w:r>
        <w:rPr>
          <w:rFonts w:ascii="Arial" w:hAnsi="Arial" w:cs="Arial"/>
          <w:sz w:val="24"/>
          <w:szCs w:val="24"/>
        </w:rPr>
        <w:t>Established</w:t>
      </w:r>
      <w:r w:rsidR="009F01DB" w:rsidRPr="008D409A">
        <w:rPr>
          <w:rFonts w:ascii="Arial" w:hAnsi="Arial" w:cs="Arial"/>
          <w:sz w:val="24"/>
          <w:szCs w:val="24"/>
        </w:rPr>
        <w:t xml:space="preserve"> the Care Quality Commission (CQC) as the new integrated regulator for health and adult social care, with tough powers to ensure safe and high quality of services. It requires the CQC to inspect, investigate and intervene where care providers are failing to meet safety and quality requirements, including hygiene standards;</w:t>
      </w:r>
    </w:p>
    <w:p w14:paraId="60AC44A9" w14:textId="77777777" w:rsidR="009F01DB" w:rsidRPr="008D409A" w:rsidRDefault="00767048" w:rsidP="008D409A">
      <w:pPr>
        <w:pStyle w:val="ListParagraph"/>
        <w:numPr>
          <w:ilvl w:val="0"/>
          <w:numId w:val="11"/>
        </w:numPr>
        <w:spacing w:after="0" w:line="240" w:lineRule="auto"/>
        <w:rPr>
          <w:rFonts w:ascii="Arial" w:hAnsi="Arial" w:cs="Arial"/>
          <w:sz w:val="24"/>
          <w:szCs w:val="24"/>
        </w:rPr>
      </w:pPr>
      <w:r>
        <w:rPr>
          <w:rFonts w:ascii="Arial" w:hAnsi="Arial" w:cs="Arial"/>
          <w:sz w:val="24"/>
          <w:szCs w:val="24"/>
        </w:rPr>
        <w:t>Reformed</w:t>
      </w:r>
      <w:r w:rsidR="009F01DB" w:rsidRPr="008D409A">
        <w:rPr>
          <w:rFonts w:ascii="Arial" w:hAnsi="Arial" w:cs="Arial"/>
          <w:sz w:val="24"/>
          <w:szCs w:val="24"/>
        </w:rPr>
        <w:t xml:space="preserve"> professional regulation to give patients and the public more confidence in the care they receive from health professionals, including the creation of a new adjudicator to make independent decisions about whether individual health professionals should remain in practice;</w:t>
      </w:r>
    </w:p>
    <w:p w14:paraId="4BD2EEA5" w14:textId="77777777" w:rsidR="009F01DB" w:rsidRPr="008D409A" w:rsidRDefault="00767048" w:rsidP="008D409A">
      <w:pPr>
        <w:pStyle w:val="ListParagraph"/>
        <w:numPr>
          <w:ilvl w:val="0"/>
          <w:numId w:val="11"/>
        </w:numPr>
        <w:spacing w:after="0" w:line="240" w:lineRule="auto"/>
        <w:rPr>
          <w:rFonts w:ascii="Arial" w:hAnsi="Arial" w:cs="Arial"/>
          <w:sz w:val="24"/>
          <w:szCs w:val="24"/>
        </w:rPr>
      </w:pPr>
      <w:r>
        <w:rPr>
          <w:rFonts w:ascii="Arial" w:hAnsi="Arial" w:cs="Arial"/>
          <w:sz w:val="24"/>
          <w:szCs w:val="24"/>
        </w:rPr>
        <w:t>Strengthened</w:t>
      </w:r>
      <w:r w:rsidR="009F01DB" w:rsidRPr="008D409A">
        <w:rPr>
          <w:rFonts w:ascii="Arial" w:hAnsi="Arial" w:cs="Arial"/>
          <w:sz w:val="24"/>
          <w:szCs w:val="24"/>
        </w:rPr>
        <w:t xml:space="preserve"> the protection of vulnerable people using residential care by ensuring that any independent sector care home that provides accommodation together with nursing or personal care on behalf of a local authority is subject to the Human Rights Act.</w:t>
      </w:r>
    </w:p>
    <w:p w14:paraId="761A1551"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61B0BB69" w14:textId="77777777" w:rsidR="009F01DB" w:rsidRPr="001C73BE" w:rsidRDefault="00767048" w:rsidP="001C73BE">
      <w:pPr>
        <w:spacing w:after="0" w:line="240" w:lineRule="auto"/>
        <w:rPr>
          <w:rFonts w:ascii="Arial" w:hAnsi="Arial" w:cs="Arial"/>
          <w:sz w:val="24"/>
          <w:szCs w:val="24"/>
        </w:rPr>
      </w:pPr>
      <w:r>
        <w:rPr>
          <w:rFonts w:ascii="Arial" w:hAnsi="Arial" w:cs="Arial"/>
          <w:sz w:val="24"/>
          <w:szCs w:val="24"/>
        </w:rPr>
        <w:t>The HSCA 2008 also extended</w:t>
      </w:r>
      <w:r w:rsidR="009F01DB" w:rsidRPr="001C73BE">
        <w:rPr>
          <w:rFonts w:ascii="Arial" w:hAnsi="Arial" w:cs="Arial"/>
          <w:sz w:val="24"/>
          <w:szCs w:val="24"/>
        </w:rPr>
        <w:t xml:space="preserve"> direct payments to include people who lack capacity to give their consents to direct payments. It allows a direct payment to be made to a `suitable person' who can receive and manage the payment on behalf of a person who lacks capacity.</w:t>
      </w:r>
    </w:p>
    <w:p w14:paraId="54129611" w14:textId="77777777" w:rsidR="009F01DB"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6813EBBB" w14:textId="77777777" w:rsidR="00D778C4" w:rsidRPr="001C73BE" w:rsidRDefault="00D778C4" w:rsidP="001C73BE">
      <w:pPr>
        <w:spacing w:after="0" w:line="240" w:lineRule="auto"/>
        <w:rPr>
          <w:rFonts w:ascii="Arial" w:hAnsi="Arial" w:cs="Arial"/>
          <w:sz w:val="24"/>
          <w:szCs w:val="24"/>
        </w:rPr>
      </w:pPr>
    </w:p>
    <w:p w14:paraId="5F4751CE" w14:textId="77777777" w:rsidR="00B81902" w:rsidRPr="005B4CE0"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t>5.4</w:t>
      </w:r>
      <w:r>
        <w:rPr>
          <w:rFonts w:ascii="Arial" w:hAnsi="Arial" w:cs="Arial"/>
          <w:b/>
          <w:color w:val="00B0F0"/>
          <w:sz w:val="28"/>
          <w:szCs w:val="28"/>
        </w:rPr>
        <w:tab/>
      </w:r>
      <w:r w:rsidR="009F01DB" w:rsidRPr="005B4CE0">
        <w:rPr>
          <w:rFonts w:ascii="Arial" w:hAnsi="Arial" w:cs="Arial"/>
          <w:b/>
          <w:color w:val="00B0F0"/>
          <w:sz w:val="28"/>
          <w:szCs w:val="28"/>
        </w:rPr>
        <w:t>Health and Social Care Act 2008 (Regulat</w:t>
      </w:r>
      <w:r w:rsidR="00CE2BA5" w:rsidRPr="005B4CE0">
        <w:rPr>
          <w:rFonts w:ascii="Arial" w:hAnsi="Arial" w:cs="Arial"/>
          <w:b/>
          <w:color w:val="00B0F0"/>
          <w:sz w:val="28"/>
          <w:szCs w:val="28"/>
        </w:rPr>
        <w:t>ed Activities)</w:t>
      </w:r>
    </w:p>
    <w:p w14:paraId="4E1A22C1" w14:textId="77777777" w:rsidR="009F01DB" w:rsidRPr="005B4CE0" w:rsidRDefault="00CE2BA5" w:rsidP="00B81902">
      <w:pPr>
        <w:spacing w:after="0" w:line="240" w:lineRule="auto"/>
        <w:ind w:firstLine="720"/>
        <w:rPr>
          <w:rFonts w:ascii="Arial" w:hAnsi="Arial" w:cs="Arial"/>
          <w:b/>
          <w:color w:val="00B0F0"/>
          <w:sz w:val="28"/>
          <w:szCs w:val="28"/>
        </w:rPr>
      </w:pPr>
      <w:r w:rsidRPr="005B4CE0">
        <w:rPr>
          <w:rFonts w:ascii="Arial" w:hAnsi="Arial" w:cs="Arial"/>
          <w:b/>
          <w:color w:val="00B0F0"/>
          <w:sz w:val="28"/>
          <w:szCs w:val="28"/>
        </w:rPr>
        <w:t>Regulations 2010</w:t>
      </w:r>
    </w:p>
    <w:p w14:paraId="5BB41490" w14:textId="77777777" w:rsidR="00D778C4" w:rsidRDefault="00D778C4" w:rsidP="001C73BE">
      <w:pPr>
        <w:spacing w:after="0" w:line="240" w:lineRule="auto"/>
        <w:rPr>
          <w:rFonts w:ascii="Arial" w:hAnsi="Arial" w:cs="Arial"/>
          <w:sz w:val="24"/>
          <w:szCs w:val="24"/>
        </w:rPr>
      </w:pPr>
    </w:p>
    <w:p w14:paraId="2685B8F9" w14:textId="77777777" w:rsidR="009F01DB" w:rsidRPr="00EC0685" w:rsidRDefault="009F01DB" w:rsidP="001C73BE">
      <w:pPr>
        <w:spacing w:after="0" w:line="240" w:lineRule="auto"/>
        <w:rPr>
          <w:rFonts w:ascii="Arial" w:hAnsi="Arial" w:cs="Arial"/>
          <w:sz w:val="24"/>
          <w:szCs w:val="24"/>
        </w:rPr>
      </w:pPr>
      <w:r w:rsidRPr="00EC0685">
        <w:rPr>
          <w:rFonts w:ascii="Arial" w:hAnsi="Arial" w:cs="Arial"/>
          <w:sz w:val="24"/>
          <w:szCs w:val="24"/>
        </w:rPr>
        <w:t>Since 2010, all health and adult social care providers are required to be registered with the Care Quality Commission (CQC) if they provide Regulated Activities. In addition, some providers that were not required to be registered under the Care Standards Act 2000 now need to register under these regulations if they provide Regulated Activities.</w:t>
      </w:r>
    </w:p>
    <w:p w14:paraId="7315E812" w14:textId="77777777" w:rsidR="009F01DB" w:rsidRPr="00EC0685" w:rsidRDefault="009F01DB" w:rsidP="001C73BE">
      <w:pPr>
        <w:spacing w:after="0" w:line="240" w:lineRule="auto"/>
        <w:rPr>
          <w:rFonts w:ascii="Arial" w:hAnsi="Arial" w:cs="Arial"/>
          <w:sz w:val="24"/>
          <w:szCs w:val="24"/>
        </w:rPr>
      </w:pPr>
      <w:r w:rsidRPr="00EC0685">
        <w:rPr>
          <w:rFonts w:ascii="Arial" w:hAnsi="Arial" w:cs="Arial"/>
          <w:sz w:val="24"/>
          <w:szCs w:val="24"/>
        </w:rPr>
        <w:t xml:space="preserve"> </w:t>
      </w:r>
    </w:p>
    <w:p w14:paraId="2A74DC8C" w14:textId="76ED4E8B" w:rsidR="009F01DB" w:rsidRPr="001C73BE" w:rsidRDefault="009F01DB" w:rsidP="001C73BE">
      <w:pPr>
        <w:spacing w:after="0" w:line="240" w:lineRule="auto"/>
        <w:rPr>
          <w:rFonts w:ascii="Arial" w:hAnsi="Arial" w:cs="Arial"/>
          <w:sz w:val="24"/>
          <w:szCs w:val="24"/>
        </w:rPr>
      </w:pPr>
      <w:r w:rsidRPr="00EC0685">
        <w:rPr>
          <w:rFonts w:ascii="Arial" w:hAnsi="Arial" w:cs="Arial"/>
          <w:sz w:val="24"/>
          <w:szCs w:val="24"/>
        </w:rPr>
        <w:t xml:space="preserve">It is a criminal offence for a barred individual to take part in Regulated Activity, or for an employer/voluntary organisation knowingly to employ a barred person in a Regulated Activity role. </w:t>
      </w:r>
      <w:r w:rsidR="00EC0685" w:rsidRPr="00EC0685">
        <w:rPr>
          <w:rFonts w:ascii="Arial" w:hAnsi="Arial" w:cs="Arial"/>
          <w:sz w:val="24"/>
          <w:szCs w:val="24"/>
        </w:rPr>
        <w:t>Local Authority Adult Care service will be inspected by the CQC from 2023.</w:t>
      </w:r>
    </w:p>
    <w:p w14:paraId="2719F7DE" w14:textId="66636BD3" w:rsidR="000F7242" w:rsidRDefault="000F7242" w:rsidP="001C73BE">
      <w:pPr>
        <w:spacing w:after="0" w:line="240" w:lineRule="auto"/>
        <w:rPr>
          <w:rFonts w:ascii="Arial" w:hAnsi="Arial" w:cs="Arial"/>
          <w:sz w:val="24"/>
          <w:szCs w:val="24"/>
        </w:rPr>
      </w:pPr>
    </w:p>
    <w:p w14:paraId="786360FD" w14:textId="77777777" w:rsidR="000F7242" w:rsidRDefault="000F7242" w:rsidP="001C73BE">
      <w:pPr>
        <w:spacing w:after="0" w:line="240" w:lineRule="auto"/>
        <w:rPr>
          <w:rFonts w:ascii="Arial" w:hAnsi="Arial" w:cs="Arial"/>
          <w:sz w:val="24"/>
          <w:szCs w:val="24"/>
        </w:rPr>
      </w:pPr>
    </w:p>
    <w:p w14:paraId="1C44F44D" w14:textId="77777777" w:rsidR="00586FAF" w:rsidRDefault="00586FAF" w:rsidP="001C73BE">
      <w:pPr>
        <w:spacing w:after="0" w:line="240" w:lineRule="auto"/>
        <w:rPr>
          <w:rFonts w:ascii="Arial" w:hAnsi="Arial" w:cs="Arial"/>
          <w:sz w:val="24"/>
          <w:szCs w:val="24"/>
        </w:rPr>
      </w:pPr>
    </w:p>
    <w:p w14:paraId="331960C0" w14:textId="77777777" w:rsidR="00586FAF" w:rsidRDefault="00586FAF" w:rsidP="001C73BE">
      <w:pPr>
        <w:spacing w:after="0" w:line="240" w:lineRule="auto"/>
        <w:rPr>
          <w:rFonts w:ascii="Arial" w:hAnsi="Arial" w:cs="Arial"/>
          <w:sz w:val="24"/>
          <w:szCs w:val="24"/>
        </w:rPr>
      </w:pPr>
    </w:p>
    <w:p w14:paraId="2143FA0E" w14:textId="77777777" w:rsidR="00586FAF" w:rsidRPr="001C73BE" w:rsidRDefault="00586FAF" w:rsidP="001C73BE">
      <w:pPr>
        <w:spacing w:after="0" w:line="240" w:lineRule="auto"/>
        <w:rPr>
          <w:rFonts w:ascii="Arial" w:hAnsi="Arial" w:cs="Arial"/>
          <w:sz w:val="24"/>
          <w:szCs w:val="24"/>
        </w:rPr>
      </w:pPr>
    </w:p>
    <w:p w14:paraId="6FD24F98" w14:textId="77777777" w:rsidR="009F01DB" w:rsidRPr="008D409A"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lastRenderedPageBreak/>
        <w:t>5.5</w:t>
      </w:r>
      <w:r>
        <w:rPr>
          <w:rFonts w:ascii="Arial" w:hAnsi="Arial" w:cs="Arial"/>
          <w:b/>
          <w:color w:val="00B0F0"/>
          <w:sz w:val="28"/>
          <w:szCs w:val="28"/>
        </w:rPr>
        <w:tab/>
      </w:r>
      <w:r w:rsidR="009F01DB" w:rsidRPr="005B4CE0">
        <w:rPr>
          <w:rFonts w:ascii="Arial" w:hAnsi="Arial" w:cs="Arial"/>
          <w:b/>
          <w:color w:val="00B0F0"/>
          <w:sz w:val="28"/>
          <w:szCs w:val="28"/>
        </w:rPr>
        <w:t>Disclosure and Barring Scheme</w:t>
      </w:r>
    </w:p>
    <w:p w14:paraId="72446C1B" w14:textId="77777777" w:rsidR="00D778C4" w:rsidRDefault="00D778C4" w:rsidP="001C73BE">
      <w:pPr>
        <w:spacing w:after="0" w:line="240" w:lineRule="auto"/>
        <w:rPr>
          <w:rFonts w:ascii="Arial" w:hAnsi="Arial" w:cs="Arial"/>
          <w:sz w:val="24"/>
          <w:szCs w:val="24"/>
        </w:rPr>
      </w:pPr>
    </w:p>
    <w:p w14:paraId="45F44B9C" w14:textId="3E7B51F5" w:rsidR="009F01DB" w:rsidRPr="000F7242" w:rsidRDefault="005B6B07" w:rsidP="001C73BE">
      <w:pPr>
        <w:spacing w:after="0" w:line="240" w:lineRule="auto"/>
        <w:rPr>
          <w:rFonts w:ascii="Arial" w:hAnsi="Arial" w:cs="Arial"/>
          <w:b/>
          <w:sz w:val="24"/>
          <w:szCs w:val="24"/>
        </w:rPr>
      </w:pPr>
      <w:r>
        <w:rPr>
          <w:rFonts w:ascii="Arial" w:hAnsi="Arial" w:cs="Arial"/>
          <w:sz w:val="24"/>
          <w:szCs w:val="24"/>
        </w:rPr>
        <w:t>Please also see your own organisation’s Managing Allegations procedures</w:t>
      </w:r>
      <w:r w:rsidR="005B4CE0">
        <w:rPr>
          <w:rFonts w:ascii="Arial" w:hAnsi="Arial" w:cs="Arial"/>
          <w:sz w:val="24"/>
          <w:szCs w:val="24"/>
        </w:rPr>
        <w:t xml:space="preserve"> and the RB</w:t>
      </w:r>
      <w:r w:rsidR="00452DD4">
        <w:rPr>
          <w:rFonts w:ascii="Arial" w:hAnsi="Arial" w:cs="Arial"/>
          <w:sz w:val="24"/>
          <w:szCs w:val="24"/>
        </w:rPr>
        <w:t>SAB Allegations Management prot</w:t>
      </w:r>
      <w:r w:rsidR="000F7242">
        <w:rPr>
          <w:rFonts w:ascii="Arial" w:hAnsi="Arial" w:cs="Arial"/>
          <w:sz w:val="24"/>
          <w:szCs w:val="24"/>
        </w:rPr>
        <w:t xml:space="preserve">ocol, available at </w:t>
      </w:r>
      <w:hyperlink r:id="rId9" w:history="1">
        <w:r w:rsidR="00751065" w:rsidRPr="00C04DEB">
          <w:rPr>
            <w:rStyle w:val="Hyperlink"/>
            <w:b w:val="0"/>
            <w:sz w:val="24"/>
            <w:szCs w:val="24"/>
          </w:rPr>
          <w:t>www.rochdalesafeguarding.com</w:t>
        </w:r>
      </w:hyperlink>
      <w:r w:rsidR="00C04DEB">
        <w:rPr>
          <w:rStyle w:val="Hyperlink"/>
          <w:b w:val="0"/>
          <w:sz w:val="24"/>
          <w:szCs w:val="24"/>
        </w:rPr>
        <w:t xml:space="preserve"> </w:t>
      </w:r>
      <w:r w:rsidR="00751065" w:rsidRPr="000F7242">
        <w:rPr>
          <w:rFonts w:ascii="Arial" w:hAnsi="Arial" w:cs="Arial"/>
          <w:b/>
          <w:sz w:val="24"/>
          <w:szCs w:val="24"/>
        </w:rPr>
        <w:t xml:space="preserve"> </w:t>
      </w:r>
    </w:p>
    <w:p w14:paraId="480566A1" w14:textId="77777777" w:rsidR="009F01DB" w:rsidRPr="000F7242" w:rsidRDefault="009F01DB" w:rsidP="001C73BE">
      <w:pPr>
        <w:spacing w:after="0" w:line="240" w:lineRule="auto"/>
        <w:rPr>
          <w:rFonts w:ascii="Arial" w:hAnsi="Arial" w:cs="Arial"/>
          <w:b/>
          <w:sz w:val="24"/>
          <w:szCs w:val="24"/>
        </w:rPr>
      </w:pPr>
      <w:r w:rsidRPr="000F7242">
        <w:rPr>
          <w:rFonts w:ascii="Arial" w:hAnsi="Arial" w:cs="Arial"/>
          <w:b/>
          <w:sz w:val="24"/>
          <w:szCs w:val="24"/>
        </w:rPr>
        <w:t xml:space="preserve"> </w:t>
      </w:r>
    </w:p>
    <w:p w14:paraId="123F08DB" w14:textId="77777777" w:rsidR="008D409A" w:rsidRDefault="009F01DB" w:rsidP="001C73BE">
      <w:pPr>
        <w:spacing w:after="0" w:line="240" w:lineRule="auto"/>
        <w:rPr>
          <w:rFonts w:ascii="Arial" w:hAnsi="Arial" w:cs="Arial"/>
          <w:sz w:val="24"/>
          <w:szCs w:val="24"/>
        </w:rPr>
      </w:pPr>
      <w:r w:rsidRPr="001C73BE">
        <w:rPr>
          <w:rFonts w:ascii="Arial" w:hAnsi="Arial" w:cs="Arial"/>
          <w:sz w:val="24"/>
          <w:szCs w:val="24"/>
        </w:rPr>
        <w:t xml:space="preserve">Safeguarding regulations under disclosure and barring were revised under the Freedom of Protections Act in 2012. But the aims is still to ensure that unsuitable people do not work with Adults at Risk, whether in paid employment or on a voluntary basis. </w:t>
      </w:r>
    </w:p>
    <w:p w14:paraId="17436F49" w14:textId="77777777" w:rsidR="005B6B07" w:rsidRDefault="005B6B07" w:rsidP="001C73BE">
      <w:pPr>
        <w:spacing w:after="0" w:line="240" w:lineRule="auto"/>
        <w:rPr>
          <w:rFonts w:ascii="Arial" w:hAnsi="Arial" w:cs="Arial"/>
          <w:sz w:val="24"/>
          <w:szCs w:val="24"/>
        </w:rPr>
      </w:pPr>
    </w:p>
    <w:p w14:paraId="11110011"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Measures in place include:</w:t>
      </w:r>
    </w:p>
    <w:p w14:paraId="543C36A9" w14:textId="77777777" w:rsidR="009F01DB" w:rsidRPr="008D409A" w:rsidRDefault="009F01DB" w:rsidP="008D409A">
      <w:pPr>
        <w:pStyle w:val="ListParagraph"/>
        <w:numPr>
          <w:ilvl w:val="0"/>
          <w:numId w:val="12"/>
        </w:numPr>
        <w:spacing w:after="0" w:line="240" w:lineRule="auto"/>
        <w:rPr>
          <w:rFonts w:ascii="Arial" w:hAnsi="Arial" w:cs="Arial"/>
          <w:sz w:val="24"/>
          <w:szCs w:val="24"/>
        </w:rPr>
      </w:pPr>
      <w:r w:rsidRPr="008D409A">
        <w:rPr>
          <w:rFonts w:ascii="Arial" w:hAnsi="Arial" w:cs="Arial"/>
          <w:sz w:val="24"/>
          <w:szCs w:val="24"/>
        </w:rPr>
        <w:t>A person who is barred from working with children or Adults at Risk will be breaking the law if they work or volunteer, or try to work or volunteer with those groups;</w:t>
      </w:r>
    </w:p>
    <w:p w14:paraId="2509CADC" w14:textId="77777777" w:rsidR="009F01DB" w:rsidRPr="008D409A" w:rsidRDefault="009F01DB" w:rsidP="008D409A">
      <w:pPr>
        <w:pStyle w:val="ListParagraph"/>
        <w:numPr>
          <w:ilvl w:val="0"/>
          <w:numId w:val="12"/>
        </w:numPr>
        <w:spacing w:after="0" w:line="240" w:lineRule="auto"/>
        <w:rPr>
          <w:rFonts w:ascii="Arial" w:hAnsi="Arial" w:cs="Arial"/>
          <w:sz w:val="24"/>
          <w:szCs w:val="24"/>
        </w:rPr>
      </w:pPr>
      <w:r w:rsidRPr="008D409A">
        <w:rPr>
          <w:rFonts w:ascii="Arial" w:hAnsi="Arial" w:cs="Arial"/>
          <w:sz w:val="24"/>
          <w:szCs w:val="24"/>
        </w:rPr>
        <w:t>An organisation which knowingly employs someone who is barred to work with those groups will also be breaking the law.</w:t>
      </w:r>
    </w:p>
    <w:p w14:paraId="03B82F1F"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4BF45988"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If your organ</w:t>
      </w:r>
      <w:r w:rsidR="008D409A">
        <w:rPr>
          <w:rFonts w:ascii="Arial" w:hAnsi="Arial" w:cs="Arial"/>
          <w:sz w:val="24"/>
          <w:szCs w:val="24"/>
        </w:rPr>
        <w:t>isation works with children or adults</w:t>
      </w:r>
      <w:r w:rsidRPr="001C73BE">
        <w:rPr>
          <w:rFonts w:ascii="Arial" w:hAnsi="Arial" w:cs="Arial"/>
          <w:sz w:val="24"/>
          <w:szCs w:val="24"/>
        </w:rPr>
        <w:t xml:space="preserve"> and you dismiss a member of staff or a volunteer becau</w:t>
      </w:r>
      <w:r w:rsidR="008D409A">
        <w:rPr>
          <w:rFonts w:ascii="Arial" w:hAnsi="Arial" w:cs="Arial"/>
          <w:sz w:val="24"/>
          <w:szCs w:val="24"/>
        </w:rPr>
        <w:t>se they have harmed a child or adult</w:t>
      </w:r>
      <w:r w:rsidRPr="001C73BE">
        <w:rPr>
          <w:rFonts w:ascii="Arial" w:hAnsi="Arial" w:cs="Arial"/>
          <w:sz w:val="24"/>
          <w:szCs w:val="24"/>
        </w:rPr>
        <w:t>, or you would have done so if they had not left, you must inform the Disclosure and Barring Service (DBS).</w:t>
      </w:r>
    </w:p>
    <w:p w14:paraId="781B82C1" w14:textId="77777777" w:rsidR="00254922"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527429D6" w14:textId="77777777" w:rsidR="002614D6" w:rsidRPr="001C73BE" w:rsidRDefault="002614D6" w:rsidP="001C73BE">
      <w:pPr>
        <w:spacing w:after="0" w:line="240" w:lineRule="auto"/>
        <w:rPr>
          <w:rFonts w:ascii="Arial" w:hAnsi="Arial" w:cs="Arial"/>
          <w:b/>
          <w:color w:val="00B0F0"/>
          <w:sz w:val="24"/>
          <w:szCs w:val="24"/>
        </w:rPr>
      </w:pPr>
    </w:p>
    <w:p w14:paraId="4D75DD2B" w14:textId="77777777" w:rsidR="009F01DB" w:rsidRPr="008D409A"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t>5.6</w:t>
      </w:r>
      <w:r>
        <w:rPr>
          <w:rFonts w:ascii="Arial" w:hAnsi="Arial" w:cs="Arial"/>
          <w:b/>
          <w:color w:val="00B0F0"/>
          <w:sz w:val="28"/>
          <w:szCs w:val="28"/>
        </w:rPr>
        <w:tab/>
      </w:r>
      <w:r w:rsidR="009F01DB" w:rsidRPr="005B4CE0">
        <w:rPr>
          <w:rFonts w:ascii="Arial" w:hAnsi="Arial" w:cs="Arial"/>
          <w:b/>
          <w:color w:val="00B0F0"/>
          <w:sz w:val="28"/>
          <w:szCs w:val="28"/>
        </w:rPr>
        <w:t>Protection for Vulnerable Witnesses and Complainants</w:t>
      </w:r>
      <w:r w:rsidR="009F01DB" w:rsidRPr="008D409A">
        <w:rPr>
          <w:rFonts w:ascii="Arial" w:hAnsi="Arial" w:cs="Arial"/>
          <w:b/>
          <w:color w:val="00B0F0"/>
          <w:sz w:val="28"/>
          <w:szCs w:val="28"/>
        </w:rPr>
        <w:t xml:space="preserve"> </w:t>
      </w:r>
    </w:p>
    <w:p w14:paraId="3DB2A013" w14:textId="77777777" w:rsidR="00D778C4" w:rsidRDefault="00D778C4" w:rsidP="001C73BE">
      <w:pPr>
        <w:spacing w:after="0" w:line="240" w:lineRule="auto"/>
        <w:rPr>
          <w:rFonts w:ascii="Arial" w:hAnsi="Arial" w:cs="Arial"/>
          <w:sz w:val="24"/>
          <w:szCs w:val="24"/>
        </w:rPr>
      </w:pPr>
    </w:p>
    <w:p w14:paraId="08B3D07F"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One of </w:t>
      </w:r>
      <w:r w:rsidR="008D409A">
        <w:rPr>
          <w:rFonts w:ascii="Arial" w:hAnsi="Arial" w:cs="Arial"/>
          <w:sz w:val="24"/>
          <w:szCs w:val="24"/>
        </w:rPr>
        <w:t>the most daunting barriers for adults</w:t>
      </w:r>
      <w:r w:rsidRPr="001C73BE">
        <w:rPr>
          <w:rFonts w:ascii="Arial" w:hAnsi="Arial" w:cs="Arial"/>
          <w:sz w:val="24"/>
          <w:szCs w:val="24"/>
        </w:rPr>
        <w:t xml:space="preserve"> seeking the protection of the criminal courts has been the court rules and conventions about the way in which the accounts of witnesses and victims are presented in court. Witnesses may be treated as 'vulnerable' and may qualify for 'special measures' if the quality of their evidence is likely to be diminished by mental illness, learning or physical disability, or intimidation.</w:t>
      </w:r>
    </w:p>
    <w:p w14:paraId="75525892"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731CE155"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The 'special measures' which the court has power to put in place can include, the use of screens so the person reported to be responsible and witness cannot see each other, giving evidence by video link, giving evidence in private, the removal by lawyers and judges of wigs and gowns, intermediaries and communication aids. It will be a matter for the trial Judge to decide in individual cases which if any special measures to adopt. This relies on carers and families explaining the reasons for the vulnerability of the witness or victim. Achieving Best Evidence in Criminal Proceedings is Home Office guidance on identifying witnesses who may be vulnerable, and planning and conducting interviews so as to maximise the likelihood that they will be able to give information which is reliable as evidence. This includes offering support while being careful to avoid "putting words into" the mouth of the witness or otherwise tainting the account they</w:t>
      </w:r>
      <w:r w:rsidR="00CE2BA5" w:rsidRPr="001C73BE">
        <w:rPr>
          <w:rFonts w:ascii="Arial" w:hAnsi="Arial" w:cs="Arial"/>
          <w:sz w:val="24"/>
          <w:szCs w:val="24"/>
        </w:rPr>
        <w:t xml:space="preserve"> may be able to give the court.</w:t>
      </w:r>
    </w:p>
    <w:p w14:paraId="205220FC" w14:textId="74B3CB37" w:rsidR="009B5D30"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7A0B9A52" w14:textId="77777777" w:rsidR="00586FAF" w:rsidRDefault="00586FAF" w:rsidP="001C73BE">
      <w:pPr>
        <w:spacing w:after="0" w:line="240" w:lineRule="auto"/>
        <w:rPr>
          <w:rFonts w:ascii="Arial" w:hAnsi="Arial" w:cs="Arial"/>
          <w:sz w:val="24"/>
          <w:szCs w:val="24"/>
        </w:rPr>
      </w:pPr>
    </w:p>
    <w:p w14:paraId="7C852259" w14:textId="77777777" w:rsidR="00586FAF" w:rsidRDefault="00586FAF" w:rsidP="001C73BE">
      <w:pPr>
        <w:spacing w:after="0" w:line="240" w:lineRule="auto"/>
        <w:rPr>
          <w:rFonts w:ascii="Arial" w:hAnsi="Arial" w:cs="Arial"/>
          <w:sz w:val="24"/>
          <w:szCs w:val="24"/>
        </w:rPr>
      </w:pPr>
    </w:p>
    <w:p w14:paraId="46974648" w14:textId="77777777" w:rsidR="00586FAF" w:rsidRPr="003675F5" w:rsidRDefault="00586FAF" w:rsidP="001C73BE">
      <w:pPr>
        <w:spacing w:after="0" w:line="240" w:lineRule="auto"/>
        <w:rPr>
          <w:rFonts w:ascii="Arial" w:hAnsi="Arial" w:cs="Arial"/>
          <w:sz w:val="24"/>
          <w:szCs w:val="24"/>
        </w:rPr>
      </w:pPr>
    </w:p>
    <w:p w14:paraId="680B0978" w14:textId="77777777" w:rsidR="009F01DB" w:rsidRPr="008D409A"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lastRenderedPageBreak/>
        <w:t>5.7</w:t>
      </w:r>
      <w:r>
        <w:rPr>
          <w:rFonts w:ascii="Arial" w:hAnsi="Arial" w:cs="Arial"/>
          <w:b/>
          <w:color w:val="00B0F0"/>
          <w:sz w:val="28"/>
          <w:szCs w:val="28"/>
        </w:rPr>
        <w:tab/>
      </w:r>
      <w:r w:rsidR="009F01DB" w:rsidRPr="005B4CE0">
        <w:rPr>
          <w:rFonts w:ascii="Arial" w:hAnsi="Arial" w:cs="Arial"/>
          <w:b/>
          <w:color w:val="00B0F0"/>
          <w:sz w:val="28"/>
          <w:szCs w:val="28"/>
        </w:rPr>
        <w:t>Protecting the Rights of Vulnerable Suspects and the Appropriate Adult</w:t>
      </w:r>
      <w:r w:rsidR="009F01DB" w:rsidRPr="008D409A">
        <w:rPr>
          <w:rFonts w:ascii="Arial" w:hAnsi="Arial" w:cs="Arial"/>
          <w:b/>
          <w:color w:val="00B0F0"/>
          <w:sz w:val="28"/>
          <w:szCs w:val="28"/>
        </w:rPr>
        <w:t xml:space="preserve"> </w:t>
      </w:r>
    </w:p>
    <w:p w14:paraId="0A773243" w14:textId="77777777" w:rsidR="00D778C4" w:rsidRDefault="00D778C4" w:rsidP="001C73BE">
      <w:pPr>
        <w:spacing w:after="0" w:line="240" w:lineRule="auto"/>
        <w:rPr>
          <w:rFonts w:ascii="Arial" w:hAnsi="Arial" w:cs="Arial"/>
          <w:sz w:val="24"/>
          <w:szCs w:val="24"/>
        </w:rPr>
      </w:pPr>
    </w:p>
    <w:p w14:paraId="19CFFCE0"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The Police and Criminal Evidence Act 1984 (PACE) and the Codes of Practice issued under it give suspects who are "mentally vulnerable" a number of safeguards in any police investigation. A mentally vulnerable suspect is someone whose mental state or capacity means they may not understand the significance of questions or replies. If there is any doubt, the suspect should be treated as mentally vulnerable and an Appropriate Adult should be called.</w:t>
      </w:r>
    </w:p>
    <w:p w14:paraId="5B24CA41"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2D701840"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It is the role of the Appropriate Adult to:</w:t>
      </w:r>
    </w:p>
    <w:p w14:paraId="405F13A9" w14:textId="77777777" w:rsidR="009F01DB" w:rsidRPr="008D409A" w:rsidRDefault="009F01DB" w:rsidP="008D409A">
      <w:pPr>
        <w:pStyle w:val="ListParagraph"/>
        <w:numPr>
          <w:ilvl w:val="0"/>
          <w:numId w:val="13"/>
        </w:numPr>
        <w:spacing w:after="0" w:line="240" w:lineRule="auto"/>
        <w:rPr>
          <w:rFonts w:ascii="Arial" w:hAnsi="Arial" w:cs="Arial"/>
          <w:sz w:val="24"/>
          <w:szCs w:val="24"/>
        </w:rPr>
      </w:pPr>
      <w:r w:rsidRPr="008D409A">
        <w:rPr>
          <w:rFonts w:ascii="Arial" w:hAnsi="Arial" w:cs="Arial"/>
          <w:sz w:val="24"/>
          <w:szCs w:val="24"/>
        </w:rPr>
        <w:t xml:space="preserve">Advise and support the person being interviewed; </w:t>
      </w:r>
    </w:p>
    <w:p w14:paraId="1A820E04" w14:textId="77777777" w:rsidR="009F01DB" w:rsidRPr="008D409A" w:rsidRDefault="009F01DB" w:rsidP="008D409A">
      <w:pPr>
        <w:pStyle w:val="ListParagraph"/>
        <w:numPr>
          <w:ilvl w:val="0"/>
          <w:numId w:val="13"/>
        </w:numPr>
        <w:spacing w:after="0" w:line="240" w:lineRule="auto"/>
        <w:rPr>
          <w:rFonts w:ascii="Arial" w:hAnsi="Arial" w:cs="Arial"/>
          <w:sz w:val="24"/>
          <w:szCs w:val="24"/>
        </w:rPr>
      </w:pPr>
      <w:r w:rsidRPr="008D409A">
        <w:rPr>
          <w:rFonts w:ascii="Arial" w:hAnsi="Arial" w:cs="Arial"/>
          <w:sz w:val="24"/>
          <w:szCs w:val="24"/>
        </w:rPr>
        <w:t xml:space="preserve">Observe whether the interview is being properly and fairly conducted, and intervene if they think it is not; and </w:t>
      </w:r>
    </w:p>
    <w:p w14:paraId="0A607E35" w14:textId="77777777" w:rsidR="009F01DB" w:rsidRPr="008D409A" w:rsidRDefault="009F01DB" w:rsidP="008D409A">
      <w:pPr>
        <w:pStyle w:val="ListParagraph"/>
        <w:numPr>
          <w:ilvl w:val="0"/>
          <w:numId w:val="13"/>
        </w:numPr>
        <w:spacing w:after="0" w:line="240" w:lineRule="auto"/>
        <w:rPr>
          <w:rFonts w:ascii="Arial" w:hAnsi="Arial" w:cs="Arial"/>
          <w:sz w:val="24"/>
          <w:szCs w:val="24"/>
        </w:rPr>
      </w:pPr>
      <w:r w:rsidRPr="008D409A">
        <w:rPr>
          <w:rFonts w:ascii="Arial" w:hAnsi="Arial" w:cs="Arial"/>
          <w:sz w:val="24"/>
          <w:szCs w:val="24"/>
        </w:rPr>
        <w:t xml:space="preserve">Facilitate communication between the interviewer and the suspect. </w:t>
      </w:r>
    </w:p>
    <w:p w14:paraId="32D6670F" w14:textId="77777777" w:rsidR="009F01DB" w:rsidRPr="001C73BE" w:rsidRDefault="009F01DB" w:rsidP="001C73BE">
      <w:pPr>
        <w:spacing w:after="0" w:line="240" w:lineRule="auto"/>
        <w:rPr>
          <w:rFonts w:ascii="Arial" w:hAnsi="Arial" w:cs="Arial"/>
          <w:sz w:val="24"/>
          <w:szCs w:val="24"/>
        </w:rPr>
      </w:pPr>
    </w:p>
    <w:p w14:paraId="663C7FF1"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Mentally vulnerable suspects should not be interviewed without an Appropriate Adult being present unless the resulting delay would cause harm to the evidence, or people or property.</w:t>
      </w:r>
    </w:p>
    <w:p w14:paraId="3A05240E"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 xml:space="preserve"> </w:t>
      </w:r>
    </w:p>
    <w:p w14:paraId="72450F50" w14:textId="77777777" w:rsidR="009F01DB" w:rsidRPr="001C73BE" w:rsidRDefault="009F01DB" w:rsidP="001C73BE">
      <w:pPr>
        <w:spacing w:after="0" w:line="240" w:lineRule="auto"/>
        <w:rPr>
          <w:rFonts w:ascii="Arial" w:hAnsi="Arial" w:cs="Arial"/>
          <w:sz w:val="24"/>
          <w:szCs w:val="24"/>
        </w:rPr>
      </w:pPr>
    </w:p>
    <w:p w14:paraId="5E697549" w14:textId="77777777" w:rsidR="009F01DB" w:rsidRPr="008D409A" w:rsidRDefault="00D778C4" w:rsidP="001C73BE">
      <w:pPr>
        <w:spacing w:after="0" w:line="240" w:lineRule="auto"/>
        <w:rPr>
          <w:rFonts w:ascii="Arial" w:hAnsi="Arial" w:cs="Arial"/>
          <w:b/>
          <w:color w:val="00B0F0"/>
          <w:sz w:val="28"/>
          <w:szCs w:val="28"/>
        </w:rPr>
      </w:pPr>
      <w:r>
        <w:rPr>
          <w:rFonts w:ascii="Arial" w:hAnsi="Arial" w:cs="Arial"/>
          <w:b/>
          <w:color w:val="00B0F0"/>
          <w:sz w:val="28"/>
          <w:szCs w:val="28"/>
        </w:rPr>
        <w:t>5.8</w:t>
      </w:r>
      <w:r>
        <w:rPr>
          <w:rFonts w:ascii="Arial" w:hAnsi="Arial" w:cs="Arial"/>
          <w:b/>
          <w:color w:val="00B0F0"/>
          <w:sz w:val="28"/>
          <w:szCs w:val="28"/>
        </w:rPr>
        <w:tab/>
      </w:r>
      <w:r w:rsidR="009F01DB" w:rsidRPr="005B4CE0">
        <w:rPr>
          <w:rFonts w:ascii="Arial" w:hAnsi="Arial" w:cs="Arial"/>
          <w:b/>
          <w:color w:val="00B0F0"/>
          <w:sz w:val="28"/>
          <w:szCs w:val="28"/>
        </w:rPr>
        <w:t>The Care Act 2014</w:t>
      </w:r>
    </w:p>
    <w:p w14:paraId="0EC549DD" w14:textId="77777777" w:rsidR="00D778C4" w:rsidRDefault="00D778C4" w:rsidP="001C73BE">
      <w:pPr>
        <w:spacing w:after="0" w:line="240" w:lineRule="auto"/>
        <w:rPr>
          <w:rFonts w:ascii="Arial" w:hAnsi="Arial" w:cs="Arial"/>
          <w:sz w:val="24"/>
          <w:szCs w:val="24"/>
        </w:rPr>
      </w:pPr>
    </w:p>
    <w:p w14:paraId="41AF5CAE" w14:textId="77777777" w:rsidR="009F01DB" w:rsidRPr="001C73BE" w:rsidRDefault="009F01DB" w:rsidP="001C73BE">
      <w:pPr>
        <w:spacing w:after="0" w:line="240" w:lineRule="auto"/>
        <w:rPr>
          <w:rFonts w:ascii="Arial" w:hAnsi="Arial" w:cs="Arial"/>
          <w:sz w:val="24"/>
          <w:szCs w:val="24"/>
        </w:rPr>
      </w:pPr>
      <w:r w:rsidRPr="001C73BE">
        <w:rPr>
          <w:rFonts w:ascii="Arial" w:hAnsi="Arial" w:cs="Arial"/>
          <w:sz w:val="24"/>
          <w:szCs w:val="24"/>
        </w:rPr>
        <w:t>The Care Act 2014 includes:</w:t>
      </w:r>
    </w:p>
    <w:p w14:paraId="7F835E4B" w14:textId="77777777" w:rsidR="009F01DB" w:rsidRPr="008D409A" w:rsidRDefault="009F01DB" w:rsidP="008D409A">
      <w:pPr>
        <w:pStyle w:val="ListParagraph"/>
        <w:numPr>
          <w:ilvl w:val="0"/>
          <w:numId w:val="15"/>
        </w:numPr>
        <w:spacing w:after="0" w:line="240" w:lineRule="auto"/>
        <w:rPr>
          <w:rFonts w:ascii="Arial" w:hAnsi="Arial" w:cs="Arial"/>
          <w:sz w:val="24"/>
          <w:szCs w:val="24"/>
        </w:rPr>
      </w:pPr>
      <w:r w:rsidRPr="008D409A">
        <w:rPr>
          <w:rFonts w:ascii="Arial" w:hAnsi="Arial" w:cs="Arial"/>
          <w:sz w:val="24"/>
          <w:szCs w:val="24"/>
        </w:rPr>
        <w:t>Putting Safeguarding Adults Boards on a statutory footing;</w:t>
      </w:r>
    </w:p>
    <w:p w14:paraId="6DC55057" w14:textId="77777777" w:rsidR="008D409A" w:rsidRPr="008D409A" w:rsidRDefault="009F01DB" w:rsidP="008D409A">
      <w:pPr>
        <w:pStyle w:val="ListParagraph"/>
        <w:numPr>
          <w:ilvl w:val="0"/>
          <w:numId w:val="14"/>
        </w:numPr>
        <w:spacing w:after="0" w:line="240" w:lineRule="auto"/>
        <w:rPr>
          <w:rFonts w:ascii="Arial" w:hAnsi="Arial" w:cs="Arial"/>
          <w:sz w:val="24"/>
          <w:szCs w:val="24"/>
        </w:rPr>
      </w:pPr>
      <w:r w:rsidRPr="008D409A">
        <w:rPr>
          <w:rFonts w:ascii="Arial" w:hAnsi="Arial" w:cs="Arial"/>
          <w:sz w:val="24"/>
          <w:szCs w:val="24"/>
        </w:rPr>
        <w:t>Requiring local authorities to make enquiries, or to ask others to make enquiries, where they reasonably suspect that an adult in their area with care a</w:t>
      </w:r>
      <w:r w:rsidR="008D409A">
        <w:rPr>
          <w:rFonts w:ascii="Arial" w:hAnsi="Arial" w:cs="Arial"/>
          <w:sz w:val="24"/>
          <w:szCs w:val="24"/>
        </w:rPr>
        <w:t>nd support needs is at risk of abuse or n</w:t>
      </w:r>
      <w:r w:rsidRPr="008D409A">
        <w:rPr>
          <w:rFonts w:ascii="Arial" w:hAnsi="Arial" w:cs="Arial"/>
          <w:sz w:val="24"/>
          <w:szCs w:val="24"/>
        </w:rPr>
        <w:t xml:space="preserve">eglect. The purpose of the enquiry is to establish what, if any, action is required in relation to the case; </w:t>
      </w:r>
    </w:p>
    <w:p w14:paraId="45A8056D" w14:textId="77777777" w:rsidR="009F01DB" w:rsidRPr="008D409A" w:rsidRDefault="009F01DB" w:rsidP="008D409A">
      <w:pPr>
        <w:pStyle w:val="ListParagraph"/>
        <w:numPr>
          <w:ilvl w:val="0"/>
          <w:numId w:val="14"/>
        </w:numPr>
        <w:spacing w:after="0" w:line="240" w:lineRule="auto"/>
        <w:rPr>
          <w:rFonts w:ascii="Arial" w:hAnsi="Arial" w:cs="Arial"/>
          <w:sz w:val="24"/>
          <w:szCs w:val="24"/>
        </w:rPr>
      </w:pPr>
      <w:r w:rsidRPr="008D409A">
        <w:rPr>
          <w:rFonts w:ascii="Arial" w:hAnsi="Arial" w:cs="Arial"/>
          <w:sz w:val="24"/>
          <w:szCs w:val="24"/>
        </w:rPr>
        <w:t>Putting Safeguarding Adults Reviews on a statutory footing, to take place in certain circumstances, where an adult dies or there is concern about how one of the members of the Safeguarding Adults Board conducted itself in the case;</w:t>
      </w:r>
    </w:p>
    <w:p w14:paraId="59E50F1F" w14:textId="77777777" w:rsidR="009F01DB" w:rsidRPr="008D409A" w:rsidRDefault="009F01DB" w:rsidP="008D409A">
      <w:pPr>
        <w:pStyle w:val="ListParagraph"/>
        <w:numPr>
          <w:ilvl w:val="0"/>
          <w:numId w:val="14"/>
        </w:numPr>
        <w:spacing w:after="0" w:line="240" w:lineRule="auto"/>
        <w:rPr>
          <w:rFonts w:ascii="Arial" w:hAnsi="Arial" w:cs="Arial"/>
          <w:sz w:val="24"/>
          <w:szCs w:val="24"/>
        </w:rPr>
      </w:pPr>
      <w:r w:rsidRPr="008D409A">
        <w:rPr>
          <w:rFonts w:ascii="Arial" w:hAnsi="Arial" w:cs="Arial"/>
          <w:sz w:val="24"/>
          <w:szCs w:val="24"/>
        </w:rPr>
        <w:t>Creating a single, clear duty on local authorities to carry out assessments in order to determine whether an adult has needs for care and support. After conducting the needs assessment, the local authority will then be required to determine whether the person has eligible needs, using the eligibility framework which will be set out in regulations. These regulations will set out a national threshold for eligibility which is to be consistent across all areas in England;</w:t>
      </w:r>
    </w:p>
    <w:p w14:paraId="43820103" w14:textId="77777777" w:rsidR="009F01DB" w:rsidRPr="008D409A" w:rsidRDefault="009F01DB" w:rsidP="008D409A">
      <w:pPr>
        <w:pStyle w:val="ListParagraph"/>
        <w:numPr>
          <w:ilvl w:val="0"/>
          <w:numId w:val="14"/>
        </w:numPr>
        <w:spacing w:after="0" w:line="240" w:lineRule="auto"/>
        <w:rPr>
          <w:rFonts w:ascii="Arial" w:hAnsi="Arial" w:cs="Arial"/>
          <w:sz w:val="24"/>
          <w:szCs w:val="24"/>
        </w:rPr>
      </w:pPr>
      <w:r w:rsidRPr="008D409A">
        <w:rPr>
          <w:rFonts w:ascii="Arial" w:hAnsi="Arial" w:cs="Arial"/>
          <w:sz w:val="24"/>
          <w:szCs w:val="24"/>
        </w:rPr>
        <w:t>Creating a single duty for local authorities to undertake a ‘carer’s assessment’, removing the requirement that the carer must be providing ‘a substantial amount of care on a regular basis’. This will mean more carers are able to access an assessment, and that the duty is comparable to that for the people they support;</w:t>
      </w:r>
    </w:p>
    <w:p w14:paraId="6D6DA761" w14:textId="77777777" w:rsidR="00B73560" w:rsidRPr="005B4CE0" w:rsidRDefault="009F01DB" w:rsidP="005B4CE0">
      <w:pPr>
        <w:pStyle w:val="ListParagraph"/>
        <w:numPr>
          <w:ilvl w:val="0"/>
          <w:numId w:val="14"/>
        </w:numPr>
        <w:spacing w:after="0" w:line="240" w:lineRule="auto"/>
        <w:rPr>
          <w:rFonts w:ascii="Arial" w:hAnsi="Arial" w:cs="Arial"/>
          <w:sz w:val="24"/>
          <w:szCs w:val="24"/>
        </w:rPr>
      </w:pPr>
      <w:r w:rsidRPr="008D409A">
        <w:rPr>
          <w:rFonts w:ascii="Arial" w:hAnsi="Arial" w:cs="Arial"/>
          <w:sz w:val="24"/>
          <w:szCs w:val="24"/>
        </w:rPr>
        <w:t xml:space="preserve">If the local authority thinks that the adult’s needs might call for a type of care and support for which it charges, it must then carry out a financial assessment of the adult to determine whether or not they can afford to pay the charge The rules on financial assessments, including how to calculate a person’s income </w:t>
      </w:r>
      <w:r w:rsidRPr="008D409A">
        <w:rPr>
          <w:rFonts w:ascii="Arial" w:hAnsi="Arial" w:cs="Arial"/>
          <w:sz w:val="24"/>
          <w:szCs w:val="24"/>
        </w:rPr>
        <w:lastRenderedPageBreak/>
        <w:t>and capital will be set out in regulations. These regulations will also set a fin</w:t>
      </w:r>
      <w:r w:rsidR="008D409A" w:rsidRPr="008D409A">
        <w:rPr>
          <w:rFonts w:ascii="Arial" w:hAnsi="Arial" w:cs="Arial"/>
          <w:sz w:val="24"/>
          <w:szCs w:val="24"/>
        </w:rPr>
        <w:t>ancial limit on care home costs.</w:t>
      </w:r>
    </w:p>
    <w:p w14:paraId="22BB2588" w14:textId="77777777" w:rsidR="00E216BA" w:rsidRPr="00AC1632" w:rsidRDefault="00E216BA" w:rsidP="001C73BE">
      <w:pPr>
        <w:spacing w:after="0" w:line="240" w:lineRule="auto"/>
        <w:rPr>
          <w:rFonts w:ascii="Arial" w:hAnsi="Arial" w:cs="Arial"/>
          <w:sz w:val="24"/>
          <w:szCs w:val="24"/>
        </w:rPr>
      </w:pPr>
    </w:p>
    <w:tbl>
      <w:tblPr>
        <w:tblW w:w="5000" w:type="pct"/>
        <w:tblCellSpacing w:w="0" w:type="dxa"/>
        <w:tblCellMar>
          <w:top w:w="75" w:type="dxa"/>
          <w:left w:w="75" w:type="dxa"/>
          <w:bottom w:w="75" w:type="dxa"/>
          <w:right w:w="75" w:type="dxa"/>
        </w:tblCellMar>
        <w:tblLook w:val="04A0" w:firstRow="1" w:lastRow="0" w:firstColumn="1" w:lastColumn="0" w:noHBand="0" w:noVBand="1"/>
        <w:tblCaption w:val="table for contents list"/>
      </w:tblPr>
      <w:tblGrid>
        <w:gridCol w:w="166"/>
        <w:gridCol w:w="8704"/>
        <w:gridCol w:w="156"/>
      </w:tblGrid>
      <w:tr w:rsidR="00E216BA" w:rsidRPr="00AC1632" w14:paraId="04DC3724" w14:textId="77777777" w:rsidTr="00B25454">
        <w:trPr>
          <w:tblCellSpacing w:w="0" w:type="dxa"/>
        </w:trPr>
        <w:tc>
          <w:tcPr>
            <w:tcW w:w="93" w:type="pct"/>
          </w:tcPr>
          <w:p w14:paraId="009B9E76" w14:textId="77777777" w:rsidR="00E216BA" w:rsidRPr="00AC1632" w:rsidRDefault="00E216BA" w:rsidP="001C73BE">
            <w:pPr>
              <w:spacing w:after="0" w:line="240" w:lineRule="auto"/>
              <w:outlineLvl w:val="2"/>
              <w:rPr>
                <w:rFonts w:ascii="Arial" w:eastAsia="Times New Roman" w:hAnsi="Arial" w:cs="Arial"/>
                <w:b/>
                <w:bCs/>
                <w:color w:val="50575B"/>
                <w:sz w:val="24"/>
                <w:szCs w:val="24"/>
                <w:lang w:eastAsia="en-GB"/>
              </w:rPr>
            </w:pPr>
          </w:p>
        </w:tc>
        <w:tc>
          <w:tcPr>
            <w:tcW w:w="4822" w:type="pct"/>
            <w:hideMark/>
          </w:tcPr>
          <w:p w14:paraId="6D1AD65A" w14:textId="77777777" w:rsidR="00E216BA" w:rsidRPr="00AC1632" w:rsidRDefault="00452DD4" w:rsidP="001C73BE">
            <w:pPr>
              <w:spacing w:after="0" w:line="240" w:lineRule="auto"/>
              <w:outlineLvl w:val="2"/>
              <w:rPr>
                <w:rFonts w:ascii="Arial" w:eastAsia="Times New Roman" w:hAnsi="Arial" w:cs="Arial"/>
                <w:b/>
                <w:bCs/>
                <w:color w:val="50575B"/>
                <w:sz w:val="24"/>
                <w:szCs w:val="24"/>
                <w:lang w:eastAsia="en-GB"/>
              </w:rPr>
            </w:pPr>
            <w:r>
              <w:rPr>
                <w:rFonts w:ascii="Arial" w:eastAsia="Times New Roman" w:hAnsi="Arial" w:cs="Arial"/>
                <w:b/>
                <w:bCs/>
                <w:color w:val="50575B"/>
                <w:sz w:val="24"/>
                <w:szCs w:val="24"/>
                <w:lang w:eastAsia="en-GB"/>
              </w:rPr>
              <w:t xml:space="preserve">Summary of </w:t>
            </w:r>
            <w:r w:rsidR="00E216BA" w:rsidRPr="00AC1632">
              <w:rPr>
                <w:rFonts w:ascii="Arial" w:eastAsia="Times New Roman" w:hAnsi="Arial" w:cs="Arial"/>
                <w:b/>
                <w:bCs/>
                <w:color w:val="50575B"/>
                <w:sz w:val="24"/>
                <w:szCs w:val="24"/>
                <w:lang w:eastAsia="en-GB"/>
              </w:rPr>
              <w:t>Legislation</w:t>
            </w:r>
          </w:p>
        </w:tc>
        <w:tc>
          <w:tcPr>
            <w:tcW w:w="85" w:type="pct"/>
            <w:hideMark/>
          </w:tcPr>
          <w:p w14:paraId="399E317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AC1632" w:rsidRPr="00AC1632" w14:paraId="44F417C6" w14:textId="77777777" w:rsidTr="00B25454">
        <w:trPr>
          <w:tblCellSpacing w:w="0" w:type="dxa"/>
        </w:trPr>
        <w:tc>
          <w:tcPr>
            <w:tcW w:w="93" w:type="pct"/>
          </w:tcPr>
          <w:p w14:paraId="0F3C0732" w14:textId="77777777" w:rsidR="00E216BA" w:rsidRPr="00AC1632" w:rsidRDefault="00E216BA" w:rsidP="001C73BE">
            <w:pPr>
              <w:spacing w:after="0" w:line="240" w:lineRule="auto"/>
              <w:rPr>
                <w:rFonts w:ascii="Arial" w:eastAsia="Times New Roman" w:hAnsi="Arial" w:cs="Arial"/>
                <w:b/>
                <w:color w:val="0070C0"/>
                <w:sz w:val="24"/>
                <w:szCs w:val="24"/>
                <w:lang w:eastAsia="en-GB"/>
              </w:rPr>
            </w:pPr>
          </w:p>
        </w:tc>
        <w:tc>
          <w:tcPr>
            <w:tcW w:w="4822" w:type="pct"/>
            <w:hideMark/>
          </w:tcPr>
          <w:p w14:paraId="0CECB59A" w14:textId="77777777" w:rsidR="00AC1632" w:rsidRDefault="00AC1632" w:rsidP="001C73BE">
            <w:pPr>
              <w:spacing w:after="0" w:line="240" w:lineRule="auto"/>
              <w:rPr>
                <w:rFonts w:ascii="Arial" w:hAnsi="Arial" w:cs="Arial"/>
                <w:b/>
                <w:color w:val="0070C0"/>
                <w:sz w:val="24"/>
                <w:szCs w:val="24"/>
              </w:rPr>
            </w:pPr>
            <w:r w:rsidRPr="00AC1632">
              <w:rPr>
                <w:rFonts w:ascii="Arial" w:hAnsi="Arial" w:cs="Arial"/>
                <w:b/>
                <w:color w:val="0070C0"/>
                <w:sz w:val="24"/>
                <w:szCs w:val="24"/>
              </w:rPr>
              <w:t>Care Act 2014</w:t>
            </w:r>
          </w:p>
          <w:p w14:paraId="6FFF7D67" w14:textId="77777777" w:rsidR="00AC1632" w:rsidRPr="00AC1632" w:rsidRDefault="00AC1632" w:rsidP="001C73BE">
            <w:pPr>
              <w:spacing w:after="0" w:line="240" w:lineRule="auto"/>
              <w:rPr>
                <w:rFonts w:ascii="Arial" w:hAnsi="Arial" w:cs="Arial"/>
                <w:b/>
                <w:color w:val="0070C0"/>
                <w:sz w:val="24"/>
                <w:szCs w:val="24"/>
              </w:rPr>
            </w:pPr>
          </w:p>
          <w:p w14:paraId="377ADBEB" w14:textId="77777777" w:rsidR="00E216BA" w:rsidRPr="00AC1632" w:rsidRDefault="00E216BA" w:rsidP="001C73BE">
            <w:pPr>
              <w:spacing w:after="0" w:line="240" w:lineRule="auto"/>
              <w:rPr>
                <w:rFonts w:ascii="Arial" w:eastAsia="Times New Roman" w:hAnsi="Arial" w:cs="Arial"/>
                <w:b/>
                <w:color w:val="0070C0"/>
                <w:sz w:val="24"/>
                <w:szCs w:val="24"/>
                <w:lang w:eastAsia="en-GB"/>
              </w:rPr>
            </w:pPr>
            <w:hyperlink r:id="rId10" w:tgtFrame="_blank" w:history="1">
              <w:r w:rsidRPr="00AC1632">
                <w:rPr>
                  <w:rFonts w:ascii="Arial" w:eastAsia="Times New Roman" w:hAnsi="Arial" w:cs="Arial"/>
                  <w:b/>
                  <w:bCs/>
                  <w:color w:val="0070C0"/>
                  <w:sz w:val="24"/>
                  <w:szCs w:val="24"/>
                  <w:lang w:eastAsia="en-GB"/>
                </w:rPr>
                <w:t>NHS and Community Care Act 1990</w:t>
              </w:r>
            </w:hyperlink>
          </w:p>
        </w:tc>
        <w:tc>
          <w:tcPr>
            <w:tcW w:w="85" w:type="pct"/>
            <w:hideMark/>
          </w:tcPr>
          <w:p w14:paraId="7F5397D1" w14:textId="77777777" w:rsidR="00E216BA" w:rsidRPr="00AC1632" w:rsidRDefault="00E216BA" w:rsidP="001C73BE">
            <w:pPr>
              <w:spacing w:after="0" w:line="240" w:lineRule="auto"/>
              <w:rPr>
                <w:rFonts w:ascii="Arial" w:eastAsia="Times New Roman" w:hAnsi="Arial" w:cs="Arial"/>
                <w:b/>
                <w:color w:val="0070C0"/>
                <w:sz w:val="28"/>
                <w:szCs w:val="28"/>
                <w:lang w:eastAsia="en-GB"/>
              </w:rPr>
            </w:pPr>
          </w:p>
        </w:tc>
      </w:tr>
      <w:tr w:rsidR="00E216BA" w:rsidRPr="00AC1632" w14:paraId="1BFE49E2" w14:textId="77777777" w:rsidTr="00B25454">
        <w:trPr>
          <w:tblCellSpacing w:w="0" w:type="dxa"/>
        </w:trPr>
        <w:tc>
          <w:tcPr>
            <w:tcW w:w="93" w:type="pct"/>
          </w:tcPr>
          <w:p w14:paraId="6340E1AB"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4B1E35B0"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1" w:tgtFrame="_blank" w:history="1">
              <w:r w:rsidRPr="00AC1632">
                <w:rPr>
                  <w:rFonts w:ascii="Arial" w:eastAsia="Times New Roman" w:hAnsi="Arial" w:cs="Arial"/>
                  <w:b/>
                  <w:bCs/>
                  <w:color w:val="017BBA"/>
                  <w:sz w:val="24"/>
                  <w:szCs w:val="24"/>
                  <w:lang w:eastAsia="en-GB"/>
                </w:rPr>
                <w:t>Carers (Recognition and Services) Act 1995</w:t>
              </w:r>
            </w:hyperlink>
          </w:p>
        </w:tc>
        <w:tc>
          <w:tcPr>
            <w:tcW w:w="85" w:type="pct"/>
            <w:hideMark/>
          </w:tcPr>
          <w:p w14:paraId="60FE6F3C"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77DB83A4" w14:textId="77777777" w:rsidTr="00B25454">
        <w:trPr>
          <w:tblCellSpacing w:w="0" w:type="dxa"/>
        </w:trPr>
        <w:tc>
          <w:tcPr>
            <w:tcW w:w="93" w:type="pct"/>
          </w:tcPr>
          <w:p w14:paraId="05652AF6" w14:textId="77777777" w:rsidR="00E216BA" w:rsidRPr="00452DD4" w:rsidRDefault="00E216BA" w:rsidP="001C73BE">
            <w:pPr>
              <w:spacing w:after="0" w:line="240" w:lineRule="auto"/>
              <w:rPr>
                <w:rFonts w:ascii="Arial" w:eastAsia="Times New Roman" w:hAnsi="Arial" w:cs="Arial"/>
                <w:b/>
                <w:color w:val="0070C0"/>
                <w:sz w:val="24"/>
                <w:szCs w:val="24"/>
                <w:lang w:eastAsia="en-GB"/>
              </w:rPr>
            </w:pPr>
          </w:p>
        </w:tc>
        <w:tc>
          <w:tcPr>
            <w:tcW w:w="4822" w:type="pct"/>
            <w:hideMark/>
          </w:tcPr>
          <w:p w14:paraId="152DDA44" w14:textId="77777777" w:rsidR="00E216BA" w:rsidRPr="00452DD4" w:rsidRDefault="00452DD4" w:rsidP="001C73BE">
            <w:pPr>
              <w:spacing w:after="0" w:line="240" w:lineRule="auto"/>
              <w:rPr>
                <w:rFonts w:ascii="Arial" w:eastAsia="Times New Roman" w:hAnsi="Arial" w:cs="Arial"/>
                <w:b/>
                <w:color w:val="0070C0"/>
                <w:sz w:val="24"/>
                <w:szCs w:val="24"/>
                <w:lang w:eastAsia="en-GB"/>
              </w:rPr>
            </w:pPr>
            <w:r w:rsidRPr="00452DD4">
              <w:rPr>
                <w:rFonts w:ascii="Arial" w:hAnsi="Arial" w:cs="Arial"/>
                <w:b/>
                <w:color w:val="0070C0"/>
                <w:sz w:val="24"/>
                <w:szCs w:val="24"/>
              </w:rPr>
              <w:t>General Data Protection Regulations 2018</w:t>
            </w:r>
          </w:p>
        </w:tc>
        <w:tc>
          <w:tcPr>
            <w:tcW w:w="85" w:type="pct"/>
            <w:hideMark/>
          </w:tcPr>
          <w:p w14:paraId="1B1B0D57"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2A20D8AC" w14:textId="77777777" w:rsidTr="00B25454">
        <w:trPr>
          <w:tblCellSpacing w:w="0" w:type="dxa"/>
        </w:trPr>
        <w:tc>
          <w:tcPr>
            <w:tcW w:w="93" w:type="pct"/>
          </w:tcPr>
          <w:p w14:paraId="3B561DE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71C5A2A5"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2" w:tgtFrame="_blank" w:history="1">
              <w:r w:rsidRPr="00AC1632">
                <w:rPr>
                  <w:rFonts w:ascii="Arial" w:eastAsia="Times New Roman" w:hAnsi="Arial" w:cs="Arial"/>
                  <w:b/>
                  <w:bCs/>
                  <w:color w:val="017BBA"/>
                  <w:sz w:val="24"/>
                  <w:szCs w:val="24"/>
                  <w:lang w:eastAsia="en-GB"/>
                </w:rPr>
                <w:t>Human Rights Act 1998</w:t>
              </w:r>
            </w:hyperlink>
          </w:p>
        </w:tc>
        <w:tc>
          <w:tcPr>
            <w:tcW w:w="85" w:type="pct"/>
            <w:hideMark/>
          </w:tcPr>
          <w:p w14:paraId="45FD869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5503A7EE" w14:textId="77777777" w:rsidTr="00B25454">
        <w:trPr>
          <w:tblCellSpacing w:w="0" w:type="dxa"/>
        </w:trPr>
        <w:tc>
          <w:tcPr>
            <w:tcW w:w="93" w:type="pct"/>
          </w:tcPr>
          <w:p w14:paraId="4925107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2DF52768"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3" w:tgtFrame="_blank" w:history="1">
              <w:r w:rsidRPr="00AC1632">
                <w:rPr>
                  <w:rFonts w:ascii="Arial" w:eastAsia="Times New Roman" w:hAnsi="Arial" w:cs="Arial"/>
                  <w:b/>
                  <w:bCs/>
                  <w:color w:val="017BBA"/>
                  <w:sz w:val="24"/>
                  <w:szCs w:val="24"/>
                  <w:lang w:eastAsia="en-GB"/>
                </w:rPr>
                <w:t>Carers and Disabled Children Act 2000</w:t>
              </w:r>
            </w:hyperlink>
          </w:p>
        </w:tc>
        <w:tc>
          <w:tcPr>
            <w:tcW w:w="85" w:type="pct"/>
            <w:hideMark/>
          </w:tcPr>
          <w:p w14:paraId="30F57E86"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778EDC49" w14:textId="77777777" w:rsidTr="00B25454">
        <w:trPr>
          <w:tblCellSpacing w:w="0" w:type="dxa"/>
        </w:trPr>
        <w:tc>
          <w:tcPr>
            <w:tcW w:w="93" w:type="pct"/>
          </w:tcPr>
          <w:p w14:paraId="084E39B8"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3C08FCAB"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4" w:tgtFrame="_blank" w:history="1">
              <w:r w:rsidRPr="00AC1632">
                <w:rPr>
                  <w:rFonts w:ascii="Arial" w:eastAsia="Times New Roman" w:hAnsi="Arial" w:cs="Arial"/>
                  <w:b/>
                  <w:bCs/>
                  <w:color w:val="017BBA"/>
                  <w:sz w:val="24"/>
                  <w:szCs w:val="24"/>
                  <w:lang w:eastAsia="en-GB"/>
                </w:rPr>
                <w:t>Freedom of Information Act 2000</w:t>
              </w:r>
            </w:hyperlink>
          </w:p>
        </w:tc>
        <w:tc>
          <w:tcPr>
            <w:tcW w:w="85" w:type="pct"/>
            <w:hideMark/>
          </w:tcPr>
          <w:p w14:paraId="3FD20822"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428289F7" w14:textId="77777777" w:rsidTr="00B25454">
        <w:trPr>
          <w:tblCellSpacing w:w="0" w:type="dxa"/>
        </w:trPr>
        <w:tc>
          <w:tcPr>
            <w:tcW w:w="93" w:type="pct"/>
          </w:tcPr>
          <w:p w14:paraId="3EA5D7DA"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7B569F6E"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5" w:tgtFrame="_blank" w:history="1">
              <w:r w:rsidRPr="00AC1632">
                <w:rPr>
                  <w:rFonts w:ascii="Arial" w:eastAsia="Times New Roman" w:hAnsi="Arial" w:cs="Arial"/>
                  <w:b/>
                  <w:bCs/>
                  <w:color w:val="017BBA"/>
                  <w:sz w:val="24"/>
                  <w:szCs w:val="24"/>
                  <w:lang w:eastAsia="en-GB"/>
                </w:rPr>
                <w:t>Carers (Equal Opportunities) Act 2004</w:t>
              </w:r>
            </w:hyperlink>
          </w:p>
        </w:tc>
        <w:tc>
          <w:tcPr>
            <w:tcW w:w="85" w:type="pct"/>
            <w:hideMark/>
          </w:tcPr>
          <w:p w14:paraId="452F4BFA"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1E98A6A1" w14:textId="77777777" w:rsidTr="00B25454">
        <w:trPr>
          <w:tblCellSpacing w:w="0" w:type="dxa"/>
        </w:trPr>
        <w:tc>
          <w:tcPr>
            <w:tcW w:w="93" w:type="pct"/>
          </w:tcPr>
          <w:p w14:paraId="24F3A1E6"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3196ADE0"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6" w:tgtFrame="_blank" w:history="1">
              <w:r w:rsidRPr="00AC1632">
                <w:rPr>
                  <w:rFonts w:ascii="Arial" w:eastAsia="Times New Roman" w:hAnsi="Arial" w:cs="Arial"/>
                  <w:b/>
                  <w:bCs/>
                  <w:color w:val="017BBA"/>
                  <w:sz w:val="24"/>
                  <w:szCs w:val="24"/>
                  <w:lang w:eastAsia="en-GB"/>
                </w:rPr>
                <w:t>Disability Discrimination Act 2005</w:t>
              </w:r>
            </w:hyperlink>
          </w:p>
        </w:tc>
        <w:tc>
          <w:tcPr>
            <w:tcW w:w="85" w:type="pct"/>
            <w:hideMark/>
          </w:tcPr>
          <w:p w14:paraId="7C99427D"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1BD6CD48" w14:textId="77777777" w:rsidTr="00B25454">
        <w:trPr>
          <w:tblCellSpacing w:w="0" w:type="dxa"/>
        </w:trPr>
        <w:tc>
          <w:tcPr>
            <w:tcW w:w="93" w:type="pct"/>
          </w:tcPr>
          <w:p w14:paraId="613D33A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03F333E3"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7" w:tgtFrame="_blank" w:history="1">
              <w:r w:rsidRPr="00AC1632">
                <w:rPr>
                  <w:rFonts w:ascii="Arial" w:eastAsia="Times New Roman" w:hAnsi="Arial" w:cs="Arial"/>
                  <w:b/>
                  <w:bCs/>
                  <w:color w:val="017BBA"/>
                  <w:sz w:val="24"/>
                  <w:szCs w:val="24"/>
                  <w:lang w:eastAsia="en-GB"/>
                </w:rPr>
                <w:t>Mental Capacity Act 2005</w:t>
              </w:r>
            </w:hyperlink>
          </w:p>
        </w:tc>
        <w:tc>
          <w:tcPr>
            <w:tcW w:w="85" w:type="pct"/>
            <w:hideMark/>
          </w:tcPr>
          <w:p w14:paraId="241A3102"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6E629984" w14:textId="77777777" w:rsidTr="00B25454">
        <w:trPr>
          <w:tblCellSpacing w:w="0" w:type="dxa"/>
        </w:trPr>
        <w:tc>
          <w:tcPr>
            <w:tcW w:w="93" w:type="pct"/>
          </w:tcPr>
          <w:p w14:paraId="1A8DF570"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530D7897"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8" w:tgtFrame="_blank" w:history="1">
              <w:r w:rsidRPr="00AC1632">
                <w:rPr>
                  <w:rFonts w:ascii="Arial" w:eastAsia="Times New Roman" w:hAnsi="Arial" w:cs="Arial"/>
                  <w:b/>
                  <w:bCs/>
                  <w:color w:val="017BBA"/>
                  <w:sz w:val="24"/>
                  <w:szCs w:val="24"/>
                  <w:lang w:eastAsia="en-GB"/>
                </w:rPr>
                <w:t>Mental Capacity Act 2005 - Code of Practice</w:t>
              </w:r>
            </w:hyperlink>
          </w:p>
        </w:tc>
        <w:tc>
          <w:tcPr>
            <w:tcW w:w="85" w:type="pct"/>
            <w:hideMark/>
          </w:tcPr>
          <w:p w14:paraId="46D82DD2"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56FD01F7" w14:textId="77777777" w:rsidTr="00B25454">
        <w:trPr>
          <w:tblCellSpacing w:w="0" w:type="dxa"/>
        </w:trPr>
        <w:tc>
          <w:tcPr>
            <w:tcW w:w="93" w:type="pct"/>
          </w:tcPr>
          <w:p w14:paraId="57A8610D"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71A0128D"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19" w:tgtFrame="_blank" w:history="1">
              <w:r w:rsidRPr="00AC1632">
                <w:rPr>
                  <w:rFonts w:ascii="Arial" w:eastAsia="Times New Roman" w:hAnsi="Arial" w:cs="Arial"/>
                  <w:b/>
                  <w:bCs/>
                  <w:color w:val="017BBA"/>
                  <w:sz w:val="24"/>
                  <w:szCs w:val="24"/>
                  <w:lang w:eastAsia="en-GB"/>
                </w:rPr>
                <w:t>Mental Capacity Deprivation of Liberty Safeguards - Supplementary Code of Practice IMCA</w:t>
              </w:r>
            </w:hyperlink>
          </w:p>
        </w:tc>
        <w:tc>
          <w:tcPr>
            <w:tcW w:w="85" w:type="pct"/>
            <w:hideMark/>
          </w:tcPr>
          <w:p w14:paraId="24F49B78"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4304B895" w14:textId="77777777" w:rsidTr="00B25454">
        <w:trPr>
          <w:trHeight w:val="20"/>
          <w:tblCellSpacing w:w="0" w:type="dxa"/>
        </w:trPr>
        <w:tc>
          <w:tcPr>
            <w:tcW w:w="93" w:type="pct"/>
          </w:tcPr>
          <w:p w14:paraId="4341437C"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39C6D552"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20" w:tgtFrame="_blank" w:history="1">
              <w:r w:rsidRPr="00AC1632">
                <w:rPr>
                  <w:rFonts w:ascii="Arial" w:eastAsia="Times New Roman" w:hAnsi="Arial" w:cs="Arial"/>
                  <w:b/>
                  <w:bCs/>
                  <w:color w:val="017BBA"/>
                  <w:sz w:val="24"/>
                  <w:szCs w:val="24"/>
                  <w:lang w:eastAsia="en-GB"/>
                </w:rPr>
                <w:t>Health and Social Care Act 2012</w:t>
              </w:r>
            </w:hyperlink>
          </w:p>
        </w:tc>
        <w:tc>
          <w:tcPr>
            <w:tcW w:w="85" w:type="pct"/>
            <w:hideMark/>
          </w:tcPr>
          <w:p w14:paraId="1BF28C80"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452DD4" w:rsidRPr="00AC1632" w14:paraId="0EA66B3C" w14:textId="77777777" w:rsidTr="00B25454">
        <w:trPr>
          <w:trHeight w:val="20"/>
          <w:tblCellSpacing w:w="0" w:type="dxa"/>
        </w:trPr>
        <w:tc>
          <w:tcPr>
            <w:tcW w:w="93" w:type="pct"/>
          </w:tcPr>
          <w:p w14:paraId="2729FACE" w14:textId="77777777" w:rsidR="00452DD4" w:rsidRPr="00AC1632" w:rsidRDefault="00452DD4" w:rsidP="001C73BE">
            <w:pPr>
              <w:spacing w:after="0" w:line="240" w:lineRule="auto"/>
              <w:rPr>
                <w:rFonts w:ascii="Arial" w:eastAsia="Times New Roman" w:hAnsi="Arial" w:cs="Arial"/>
                <w:color w:val="5A5B5B"/>
                <w:sz w:val="24"/>
                <w:szCs w:val="24"/>
                <w:lang w:eastAsia="en-GB"/>
              </w:rPr>
            </w:pPr>
          </w:p>
        </w:tc>
        <w:tc>
          <w:tcPr>
            <w:tcW w:w="4822" w:type="pct"/>
          </w:tcPr>
          <w:p w14:paraId="1087800A" w14:textId="77777777" w:rsidR="00452DD4" w:rsidRPr="00B25454" w:rsidRDefault="00452DD4" w:rsidP="001C73BE">
            <w:pPr>
              <w:spacing w:after="0" w:line="240" w:lineRule="auto"/>
              <w:rPr>
                <w:rFonts w:ascii="Arial" w:hAnsi="Arial" w:cs="Arial"/>
                <w:b/>
                <w:color w:val="0070C0"/>
                <w:sz w:val="24"/>
                <w:szCs w:val="24"/>
              </w:rPr>
            </w:pPr>
            <w:r w:rsidRPr="00B25454">
              <w:rPr>
                <w:rFonts w:ascii="Arial" w:hAnsi="Arial" w:cs="Arial"/>
                <w:b/>
                <w:color w:val="0070C0"/>
                <w:sz w:val="24"/>
                <w:szCs w:val="24"/>
              </w:rPr>
              <w:t>Modern Slavery Act 2015</w:t>
            </w:r>
          </w:p>
        </w:tc>
        <w:tc>
          <w:tcPr>
            <w:tcW w:w="85" w:type="pct"/>
          </w:tcPr>
          <w:p w14:paraId="3947B2E2" w14:textId="77777777" w:rsidR="00452DD4" w:rsidRPr="00AC1632" w:rsidRDefault="00452DD4" w:rsidP="001C73BE">
            <w:pPr>
              <w:spacing w:after="0" w:line="240" w:lineRule="auto"/>
              <w:rPr>
                <w:rFonts w:ascii="Arial" w:eastAsia="Times New Roman" w:hAnsi="Arial" w:cs="Arial"/>
                <w:color w:val="5A5B5B"/>
                <w:sz w:val="24"/>
                <w:szCs w:val="24"/>
                <w:lang w:eastAsia="en-GB"/>
              </w:rPr>
            </w:pPr>
          </w:p>
        </w:tc>
      </w:tr>
      <w:tr w:rsidR="00587A6F" w:rsidRPr="00AC1632" w14:paraId="0C1A8D36" w14:textId="77777777" w:rsidTr="00B25454">
        <w:trPr>
          <w:trHeight w:val="20"/>
          <w:tblCellSpacing w:w="0" w:type="dxa"/>
        </w:trPr>
        <w:tc>
          <w:tcPr>
            <w:tcW w:w="93" w:type="pct"/>
          </w:tcPr>
          <w:p w14:paraId="216C9C30" w14:textId="77777777" w:rsidR="00587A6F" w:rsidRPr="00AC1632" w:rsidRDefault="00587A6F" w:rsidP="001C73BE">
            <w:pPr>
              <w:spacing w:after="0" w:line="240" w:lineRule="auto"/>
              <w:rPr>
                <w:rFonts w:ascii="Arial" w:eastAsia="Times New Roman" w:hAnsi="Arial" w:cs="Arial"/>
                <w:color w:val="5A5B5B"/>
                <w:sz w:val="24"/>
                <w:szCs w:val="24"/>
                <w:lang w:eastAsia="en-GB"/>
              </w:rPr>
            </w:pPr>
          </w:p>
        </w:tc>
        <w:tc>
          <w:tcPr>
            <w:tcW w:w="4822" w:type="pct"/>
          </w:tcPr>
          <w:p w14:paraId="5EB0AA8A" w14:textId="77777777" w:rsidR="00587A6F" w:rsidRPr="00B25454" w:rsidRDefault="00587A6F" w:rsidP="001C73BE">
            <w:pPr>
              <w:spacing w:after="0" w:line="240" w:lineRule="auto"/>
              <w:rPr>
                <w:rFonts w:ascii="Arial" w:hAnsi="Arial" w:cs="Arial"/>
                <w:b/>
                <w:color w:val="0070C0"/>
                <w:sz w:val="24"/>
                <w:szCs w:val="24"/>
              </w:rPr>
            </w:pPr>
            <w:r w:rsidRPr="00B25454">
              <w:rPr>
                <w:rFonts w:ascii="Arial" w:hAnsi="Arial" w:cs="Arial"/>
                <w:b/>
                <w:color w:val="0070C0"/>
                <w:sz w:val="24"/>
                <w:szCs w:val="24"/>
              </w:rPr>
              <w:t>Public interest Disclosure Act 1998</w:t>
            </w:r>
          </w:p>
        </w:tc>
        <w:tc>
          <w:tcPr>
            <w:tcW w:w="85" w:type="pct"/>
          </w:tcPr>
          <w:p w14:paraId="3A8B4673" w14:textId="77777777" w:rsidR="00587A6F" w:rsidRPr="00AC1632" w:rsidRDefault="00587A6F" w:rsidP="001C73BE">
            <w:pPr>
              <w:spacing w:after="0" w:line="240" w:lineRule="auto"/>
              <w:rPr>
                <w:rFonts w:ascii="Arial" w:eastAsia="Times New Roman" w:hAnsi="Arial" w:cs="Arial"/>
                <w:color w:val="5A5B5B"/>
                <w:sz w:val="24"/>
                <w:szCs w:val="24"/>
                <w:lang w:eastAsia="en-GB"/>
              </w:rPr>
            </w:pPr>
          </w:p>
        </w:tc>
      </w:tr>
      <w:tr w:rsidR="00E216BA" w:rsidRPr="00AC1632" w14:paraId="101CE3CC" w14:textId="77777777" w:rsidTr="00B25454">
        <w:trPr>
          <w:tblCellSpacing w:w="0" w:type="dxa"/>
        </w:trPr>
        <w:tc>
          <w:tcPr>
            <w:tcW w:w="93" w:type="pct"/>
          </w:tcPr>
          <w:p w14:paraId="71A80584"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55E87BEF" w14:textId="1665FAF9" w:rsidR="00E216BA" w:rsidRPr="00A223EE" w:rsidRDefault="00A223EE" w:rsidP="001C73BE">
            <w:pPr>
              <w:spacing w:after="0" w:line="240" w:lineRule="auto"/>
              <w:rPr>
                <w:rFonts w:ascii="Arial" w:eastAsia="Times New Roman" w:hAnsi="Arial" w:cs="Arial"/>
                <w:b/>
                <w:color w:val="0070C0"/>
                <w:sz w:val="24"/>
                <w:szCs w:val="24"/>
                <w:lang w:eastAsia="en-GB"/>
              </w:rPr>
            </w:pPr>
            <w:hyperlink r:id="rId21" w:history="1">
              <w:r w:rsidRPr="00A223EE">
                <w:rPr>
                  <w:rStyle w:val="Hyperlink"/>
                  <w:sz w:val="24"/>
                  <w:szCs w:val="24"/>
                </w:rPr>
                <w:t>ADASS Guidance Out of Area Safeguarding Arrangements 2016</w:t>
              </w:r>
            </w:hyperlink>
          </w:p>
        </w:tc>
        <w:tc>
          <w:tcPr>
            <w:tcW w:w="85" w:type="pct"/>
            <w:hideMark/>
          </w:tcPr>
          <w:p w14:paraId="52E757B7"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448C03D2" w14:textId="77777777" w:rsidTr="00B25454">
        <w:trPr>
          <w:tblCellSpacing w:w="0" w:type="dxa"/>
        </w:trPr>
        <w:tc>
          <w:tcPr>
            <w:tcW w:w="93" w:type="pct"/>
          </w:tcPr>
          <w:p w14:paraId="3F5BB432"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3C1CA6A6"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22" w:tgtFrame="_blank" w:history="1">
              <w:r w:rsidRPr="00AC1632">
                <w:rPr>
                  <w:rFonts w:ascii="Arial" w:eastAsia="Times New Roman" w:hAnsi="Arial" w:cs="Arial"/>
                  <w:b/>
                  <w:bCs/>
                  <w:color w:val="017BBA"/>
                  <w:sz w:val="24"/>
                  <w:szCs w:val="24"/>
                  <w:lang w:eastAsia="en-GB"/>
                </w:rPr>
                <w:t xml:space="preserve">Dignity in Care, SCIE, 2010 </w:t>
              </w:r>
            </w:hyperlink>
          </w:p>
        </w:tc>
        <w:tc>
          <w:tcPr>
            <w:tcW w:w="85" w:type="pct"/>
            <w:hideMark/>
          </w:tcPr>
          <w:p w14:paraId="323208E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55CD4866" w14:textId="77777777" w:rsidTr="00B25454">
        <w:trPr>
          <w:tblCellSpacing w:w="0" w:type="dxa"/>
        </w:trPr>
        <w:tc>
          <w:tcPr>
            <w:tcW w:w="93" w:type="pct"/>
          </w:tcPr>
          <w:p w14:paraId="4A7B65D5"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7AFE6E59" w14:textId="77777777" w:rsidR="00E216BA" w:rsidRPr="00AC1632" w:rsidRDefault="00E216BA" w:rsidP="001C73BE">
            <w:pPr>
              <w:spacing w:after="0" w:line="240" w:lineRule="auto"/>
              <w:rPr>
                <w:rFonts w:ascii="Arial" w:eastAsia="Times New Roman" w:hAnsi="Arial" w:cs="Arial"/>
                <w:color w:val="5A5B5B"/>
                <w:sz w:val="24"/>
                <w:szCs w:val="24"/>
                <w:lang w:eastAsia="en-GB"/>
              </w:rPr>
            </w:pPr>
            <w:hyperlink r:id="rId23" w:tgtFrame="_blank" w:history="1">
              <w:r w:rsidRPr="00AC1632">
                <w:rPr>
                  <w:rFonts w:ascii="Arial" w:eastAsia="Times New Roman" w:hAnsi="Arial" w:cs="Arial"/>
                  <w:b/>
                  <w:bCs/>
                  <w:color w:val="017BBA"/>
                  <w:sz w:val="24"/>
                  <w:szCs w:val="24"/>
                  <w:lang w:eastAsia="en-GB"/>
                </w:rPr>
                <w:t>Assessment: Financial Crime Against Vulnerable Adults, SCIE, 2011</w:t>
              </w:r>
            </w:hyperlink>
          </w:p>
        </w:tc>
        <w:tc>
          <w:tcPr>
            <w:tcW w:w="85" w:type="pct"/>
            <w:hideMark/>
          </w:tcPr>
          <w:p w14:paraId="0DDC4199"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r w:rsidR="00E216BA" w:rsidRPr="00AC1632" w14:paraId="04F01ADF" w14:textId="77777777" w:rsidTr="00B25454">
        <w:trPr>
          <w:tblCellSpacing w:w="0" w:type="dxa"/>
        </w:trPr>
        <w:tc>
          <w:tcPr>
            <w:tcW w:w="93" w:type="pct"/>
            <w:hideMark/>
          </w:tcPr>
          <w:p w14:paraId="3F5F4546"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c>
          <w:tcPr>
            <w:tcW w:w="4822" w:type="pct"/>
            <w:hideMark/>
          </w:tcPr>
          <w:p w14:paraId="44F16E90" w14:textId="77777777" w:rsidR="00B73560" w:rsidRPr="00452DD4" w:rsidRDefault="00E216BA" w:rsidP="001C73BE">
            <w:pPr>
              <w:spacing w:after="0" w:line="240" w:lineRule="auto"/>
              <w:rPr>
                <w:rFonts w:ascii="Arial" w:eastAsia="Times New Roman" w:hAnsi="Arial" w:cs="Arial"/>
                <w:b/>
                <w:bCs/>
                <w:color w:val="017BBA"/>
                <w:sz w:val="24"/>
                <w:szCs w:val="24"/>
                <w:lang w:eastAsia="en-GB"/>
              </w:rPr>
            </w:pPr>
            <w:hyperlink r:id="rId24" w:tgtFrame="_blank" w:history="1">
              <w:r w:rsidRPr="00AC1632">
                <w:rPr>
                  <w:rFonts w:ascii="Arial" w:eastAsia="Times New Roman" w:hAnsi="Arial" w:cs="Arial"/>
                  <w:b/>
                  <w:bCs/>
                  <w:color w:val="017BBA"/>
                  <w:sz w:val="24"/>
                  <w:szCs w:val="24"/>
                  <w:lang w:eastAsia="en-GB"/>
                </w:rPr>
                <w:t xml:space="preserve">Protecting Adults at Risk: Good Practice Resource, SCIE, 2012 </w:t>
              </w:r>
            </w:hyperlink>
          </w:p>
        </w:tc>
        <w:tc>
          <w:tcPr>
            <w:tcW w:w="85" w:type="pct"/>
            <w:hideMark/>
          </w:tcPr>
          <w:p w14:paraId="7D2B65DF" w14:textId="77777777" w:rsidR="00E216BA" w:rsidRPr="00AC1632" w:rsidRDefault="00E216BA" w:rsidP="001C73BE">
            <w:pPr>
              <w:spacing w:after="0" w:line="240" w:lineRule="auto"/>
              <w:rPr>
                <w:rFonts w:ascii="Arial" w:eastAsia="Times New Roman" w:hAnsi="Arial" w:cs="Arial"/>
                <w:color w:val="5A5B5B"/>
                <w:sz w:val="24"/>
                <w:szCs w:val="24"/>
                <w:lang w:eastAsia="en-GB"/>
              </w:rPr>
            </w:pPr>
          </w:p>
        </w:tc>
      </w:tr>
    </w:tbl>
    <w:p w14:paraId="0A437E0F" w14:textId="77777777" w:rsidR="00C42A4D" w:rsidRPr="00AC1632" w:rsidRDefault="00C42A4D" w:rsidP="001C73BE">
      <w:pPr>
        <w:spacing w:after="0" w:line="240" w:lineRule="auto"/>
        <w:rPr>
          <w:rFonts w:ascii="Arial" w:hAnsi="Arial" w:cs="Arial"/>
          <w:sz w:val="24"/>
          <w:szCs w:val="24"/>
        </w:rPr>
      </w:pPr>
    </w:p>
    <w:sectPr w:rsidR="00C42A4D" w:rsidRPr="00AC1632">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D02EF" w14:textId="77777777" w:rsidR="00094C6A" w:rsidRDefault="00094C6A" w:rsidP="00747518">
      <w:pPr>
        <w:spacing w:after="0" w:line="240" w:lineRule="auto"/>
      </w:pPr>
      <w:r>
        <w:separator/>
      </w:r>
    </w:p>
  </w:endnote>
  <w:endnote w:type="continuationSeparator" w:id="0">
    <w:p w14:paraId="16BA73DE" w14:textId="77777777" w:rsidR="00094C6A" w:rsidRDefault="00094C6A" w:rsidP="0074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28F5" w14:textId="0DEFAD51" w:rsidR="009B5D30" w:rsidRDefault="009B5D30" w:rsidP="00751065">
    <w:pPr>
      <w:jc w:val="center"/>
      <w:rPr>
        <w:i/>
        <w:iCs/>
        <w:sz w:val="16"/>
        <w:szCs w:val="16"/>
      </w:rPr>
    </w:pPr>
    <w:r>
      <w:rPr>
        <w:i/>
        <w:iCs/>
        <w:sz w:val="16"/>
        <w:szCs w:val="16"/>
      </w:rPr>
      <w:t xml:space="preserve">This is a controlled document. Whilst this document may be printed, the electronic version posted on the </w:t>
    </w:r>
    <w:r>
      <w:rPr>
        <w:i/>
        <w:iCs/>
        <w:color w:val="1F497D"/>
        <w:sz w:val="16"/>
        <w:szCs w:val="16"/>
      </w:rPr>
      <w:t>RBSAB website</w:t>
    </w:r>
    <w:r>
      <w:rPr>
        <w:i/>
        <w:iCs/>
        <w:sz w:val="16"/>
        <w:szCs w:val="16"/>
      </w:rPr>
      <w:t xml:space="preserve"> is the controlled copy. Any printed copies of this document are not controlled. As a controlled document, this document should not be saved onto local or network drives but should always be a</w:t>
    </w:r>
    <w:r w:rsidR="00751065">
      <w:rPr>
        <w:i/>
        <w:iCs/>
        <w:sz w:val="16"/>
        <w:szCs w:val="16"/>
      </w:rPr>
      <w:t xml:space="preserve">ccessed from the RBSAB website </w:t>
    </w:r>
    <w:hyperlink r:id="rId1" w:history="1">
      <w:r w:rsidR="00751065" w:rsidRPr="002008BA">
        <w:rPr>
          <w:rStyle w:val="Hyperlink"/>
          <w:rFonts w:asciiTheme="minorHAnsi" w:hAnsiTheme="minorHAnsi" w:cstheme="minorBidi"/>
          <w:i/>
          <w:iCs/>
          <w:sz w:val="16"/>
          <w:szCs w:val="16"/>
        </w:rPr>
        <w:t>www.rochdalesafeguarding.com</w:t>
      </w:r>
    </w:hyperlink>
  </w:p>
  <w:p w14:paraId="30BA84AD" w14:textId="77777777" w:rsidR="009B5D30" w:rsidRDefault="009B5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D413" w14:textId="77777777" w:rsidR="00094C6A" w:rsidRDefault="00094C6A" w:rsidP="00747518">
      <w:pPr>
        <w:spacing w:after="0" w:line="240" w:lineRule="auto"/>
      </w:pPr>
      <w:r>
        <w:separator/>
      </w:r>
    </w:p>
  </w:footnote>
  <w:footnote w:type="continuationSeparator" w:id="0">
    <w:p w14:paraId="03A0F8B5" w14:textId="77777777" w:rsidR="00094C6A" w:rsidRDefault="00094C6A" w:rsidP="00747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0377"/>
    <w:multiLevelType w:val="hybridMultilevel"/>
    <w:tmpl w:val="D06090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6D66846"/>
    <w:multiLevelType w:val="hybridMultilevel"/>
    <w:tmpl w:val="2FCC2E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D873534"/>
    <w:multiLevelType w:val="hybridMultilevel"/>
    <w:tmpl w:val="A498C648"/>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46AC5"/>
    <w:multiLevelType w:val="hybridMultilevel"/>
    <w:tmpl w:val="CDBEA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64755"/>
    <w:multiLevelType w:val="hybridMultilevel"/>
    <w:tmpl w:val="A09C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A2EE6"/>
    <w:multiLevelType w:val="hybridMultilevel"/>
    <w:tmpl w:val="F95A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B65B2"/>
    <w:multiLevelType w:val="hybridMultilevel"/>
    <w:tmpl w:val="52921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3705E"/>
    <w:multiLevelType w:val="hybridMultilevel"/>
    <w:tmpl w:val="1B9A5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A2000"/>
    <w:multiLevelType w:val="hybridMultilevel"/>
    <w:tmpl w:val="89AAE8C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9" w15:restartNumberingAfterBreak="0">
    <w:nsid w:val="376E346D"/>
    <w:multiLevelType w:val="hybridMultilevel"/>
    <w:tmpl w:val="D9FC4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A724CA"/>
    <w:multiLevelType w:val="hybridMultilevel"/>
    <w:tmpl w:val="B680F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C0638A"/>
    <w:multiLevelType w:val="hybridMultilevel"/>
    <w:tmpl w:val="E40C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C4B8A"/>
    <w:multiLevelType w:val="hybridMultilevel"/>
    <w:tmpl w:val="6C580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06B85"/>
    <w:multiLevelType w:val="hybridMultilevel"/>
    <w:tmpl w:val="B680F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741A85"/>
    <w:multiLevelType w:val="hybridMultilevel"/>
    <w:tmpl w:val="CDBEA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5F01CD"/>
    <w:multiLevelType w:val="hybridMultilevel"/>
    <w:tmpl w:val="7A8EF4E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602F35C6"/>
    <w:multiLevelType w:val="hybridMultilevel"/>
    <w:tmpl w:val="6480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62451"/>
    <w:multiLevelType w:val="hybridMultilevel"/>
    <w:tmpl w:val="FE78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448196">
    <w:abstractNumId w:val="6"/>
  </w:num>
  <w:num w:numId="2" w16cid:durableId="117651534">
    <w:abstractNumId w:val="12"/>
  </w:num>
  <w:num w:numId="3" w16cid:durableId="113444550">
    <w:abstractNumId w:val="9"/>
  </w:num>
  <w:num w:numId="4" w16cid:durableId="644049787">
    <w:abstractNumId w:val="10"/>
  </w:num>
  <w:num w:numId="5" w16cid:durableId="377749626">
    <w:abstractNumId w:val="13"/>
  </w:num>
  <w:num w:numId="6" w16cid:durableId="1591233904">
    <w:abstractNumId w:val="14"/>
  </w:num>
  <w:num w:numId="7" w16cid:durableId="2081831523">
    <w:abstractNumId w:val="3"/>
  </w:num>
  <w:num w:numId="8" w16cid:durableId="535243401">
    <w:abstractNumId w:val="8"/>
  </w:num>
  <w:num w:numId="9" w16cid:durableId="1169632731">
    <w:abstractNumId w:val="15"/>
  </w:num>
  <w:num w:numId="10" w16cid:durableId="114375432">
    <w:abstractNumId w:val="0"/>
  </w:num>
  <w:num w:numId="11" w16cid:durableId="1088892880">
    <w:abstractNumId w:val="11"/>
  </w:num>
  <w:num w:numId="12" w16cid:durableId="1874879462">
    <w:abstractNumId w:val="4"/>
  </w:num>
  <w:num w:numId="13" w16cid:durableId="1722828940">
    <w:abstractNumId w:val="16"/>
  </w:num>
  <w:num w:numId="14" w16cid:durableId="1256984226">
    <w:abstractNumId w:val="7"/>
  </w:num>
  <w:num w:numId="15" w16cid:durableId="849297080">
    <w:abstractNumId w:val="17"/>
  </w:num>
  <w:num w:numId="16" w16cid:durableId="1873496498">
    <w:abstractNumId w:val="5"/>
  </w:num>
  <w:num w:numId="17" w16cid:durableId="1449356459">
    <w:abstractNumId w:val="1"/>
  </w:num>
  <w:num w:numId="18" w16cid:durableId="1026445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DB"/>
    <w:rsid w:val="00022AB0"/>
    <w:rsid w:val="00047279"/>
    <w:rsid w:val="00094C6A"/>
    <w:rsid w:val="000B7B4C"/>
    <w:rsid w:val="000E4952"/>
    <w:rsid w:val="000F7242"/>
    <w:rsid w:val="001377FB"/>
    <w:rsid w:val="00181B7F"/>
    <w:rsid w:val="001B4AEF"/>
    <w:rsid w:val="001C73BE"/>
    <w:rsid w:val="001E72E8"/>
    <w:rsid w:val="00212C72"/>
    <w:rsid w:val="00254922"/>
    <w:rsid w:val="002614D6"/>
    <w:rsid w:val="002A6B58"/>
    <w:rsid w:val="002C14AB"/>
    <w:rsid w:val="00320895"/>
    <w:rsid w:val="00345A53"/>
    <w:rsid w:val="003648D3"/>
    <w:rsid w:val="003675F5"/>
    <w:rsid w:val="003F7D66"/>
    <w:rsid w:val="00420889"/>
    <w:rsid w:val="0044628A"/>
    <w:rsid w:val="00452DD4"/>
    <w:rsid w:val="00473BCE"/>
    <w:rsid w:val="004B1425"/>
    <w:rsid w:val="00586FAF"/>
    <w:rsid w:val="00587A6F"/>
    <w:rsid w:val="005B4CE0"/>
    <w:rsid w:val="005B6B07"/>
    <w:rsid w:val="00613C29"/>
    <w:rsid w:val="006343E4"/>
    <w:rsid w:val="00654266"/>
    <w:rsid w:val="00747518"/>
    <w:rsid w:val="00751065"/>
    <w:rsid w:val="00763B5F"/>
    <w:rsid w:val="00767048"/>
    <w:rsid w:val="007C6696"/>
    <w:rsid w:val="008D409A"/>
    <w:rsid w:val="00941D9F"/>
    <w:rsid w:val="009630D9"/>
    <w:rsid w:val="009B5D30"/>
    <w:rsid w:val="009F01DB"/>
    <w:rsid w:val="00A06BD7"/>
    <w:rsid w:val="00A223EE"/>
    <w:rsid w:val="00A35BF4"/>
    <w:rsid w:val="00A922C7"/>
    <w:rsid w:val="00AC1632"/>
    <w:rsid w:val="00AD3115"/>
    <w:rsid w:val="00AD6307"/>
    <w:rsid w:val="00B25454"/>
    <w:rsid w:val="00B73560"/>
    <w:rsid w:val="00B81902"/>
    <w:rsid w:val="00BD6B5C"/>
    <w:rsid w:val="00C04DEB"/>
    <w:rsid w:val="00C17F7B"/>
    <w:rsid w:val="00C42A4D"/>
    <w:rsid w:val="00C666BE"/>
    <w:rsid w:val="00CE2BA5"/>
    <w:rsid w:val="00CF6707"/>
    <w:rsid w:val="00D37597"/>
    <w:rsid w:val="00D778C4"/>
    <w:rsid w:val="00E216BA"/>
    <w:rsid w:val="00E36DBA"/>
    <w:rsid w:val="00E51A11"/>
    <w:rsid w:val="00EC0685"/>
    <w:rsid w:val="00F12FEE"/>
    <w:rsid w:val="00F537DB"/>
    <w:rsid w:val="00FD1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D2B32B"/>
  <w15:docId w15:val="{05BE78AC-C4F8-4B0F-A96C-C89D1CE6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216B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16BA"/>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E216BA"/>
    <w:rPr>
      <w:rFonts w:ascii="Arial" w:hAnsi="Arial" w:cs="Arial" w:hint="default"/>
      <w:b/>
      <w:bCs/>
      <w:i w:val="0"/>
      <w:iCs w:val="0"/>
      <w:strike w:val="0"/>
      <w:dstrike w:val="0"/>
      <w:color w:val="017BBA"/>
      <w:u w:val="none"/>
      <w:effect w:val="none"/>
    </w:rPr>
  </w:style>
  <w:style w:type="paragraph" w:styleId="ListParagraph">
    <w:name w:val="List Paragraph"/>
    <w:basedOn w:val="Normal"/>
    <w:uiPriority w:val="34"/>
    <w:qFormat/>
    <w:rsid w:val="00254922"/>
    <w:pPr>
      <w:ind w:left="720"/>
      <w:contextualSpacing/>
    </w:pPr>
  </w:style>
  <w:style w:type="paragraph" w:styleId="BalloonText">
    <w:name w:val="Balloon Text"/>
    <w:basedOn w:val="Normal"/>
    <w:link w:val="BalloonTextChar"/>
    <w:uiPriority w:val="99"/>
    <w:semiHidden/>
    <w:unhideWhenUsed/>
    <w:rsid w:val="00B8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902"/>
    <w:rPr>
      <w:rFonts w:ascii="Tahoma" w:hAnsi="Tahoma" w:cs="Tahoma"/>
      <w:sz w:val="16"/>
      <w:szCs w:val="16"/>
    </w:rPr>
  </w:style>
  <w:style w:type="paragraph" w:styleId="Header">
    <w:name w:val="header"/>
    <w:basedOn w:val="Normal"/>
    <w:link w:val="HeaderChar"/>
    <w:uiPriority w:val="99"/>
    <w:unhideWhenUsed/>
    <w:rsid w:val="0074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518"/>
  </w:style>
  <w:style w:type="paragraph" w:styleId="Footer">
    <w:name w:val="footer"/>
    <w:basedOn w:val="Normal"/>
    <w:link w:val="FooterChar"/>
    <w:uiPriority w:val="99"/>
    <w:unhideWhenUsed/>
    <w:rsid w:val="0074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518"/>
  </w:style>
  <w:style w:type="character" w:styleId="CommentReference">
    <w:name w:val="annotation reference"/>
    <w:basedOn w:val="DefaultParagraphFont"/>
    <w:uiPriority w:val="99"/>
    <w:semiHidden/>
    <w:unhideWhenUsed/>
    <w:rsid w:val="00473BCE"/>
    <w:rPr>
      <w:sz w:val="16"/>
      <w:szCs w:val="16"/>
    </w:rPr>
  </w:style>
  <w:style w:type="paragraph" w:styleId="CommentText">
    <w:name w:val="annotation text"/>
    <w:basedOn w:val="Normal"/>
    <w:link w:val="CommentTextChar"/>
    <w:uiPriority w:val="99"/>
    <w:semiHidden/>
    <w:unhideWhenUsed/>
    <w:rsid w:val="00473BCE"/>
    <w:pPr>
      <w:spacing w:line="240" w:lineRule="auto"/>
    </w:pPr>
    <w:rPr>
      <w:sz w:val="20"/>
      <w:szCs w:val="20"/>
    </w:rPr>
  </w:style>
  <w:style w:type="character" w:customStyle="1" w:styleId="CommentTextChar">
    <w:name w:val="Comment Text Char"/>
    <w:basedOn w:val="DefaultParagraphFont"/>
    <w:link w:val="CommentText"/>
    <w:uiPriority w:val="99"/>
    <w:semiHidden/>
    <w:rsid w:val="00473BCE"/>
    <w:rPr>
      <w:sz w:val="20"/>
      <w:szCs w:val="20"/>
    </w:rPr>
  </w:style>
  <w:style w:type="paragraph" w:styleId="CommentSubject">
    <w:name w:val="annotation subject"/>
    <w:basedOn w:val="CommentText"/>
    <w:next w:val="CommentText"/>
    <w:link w:val="CommentSubjectChar"/>
    <w:uiPriority w:val="99"/>
    <w:semiHidden/>
    <w:unhideWhenUsed/>
    <w:rsid w:val="00473BCE"/>
    <w:rPr>
      <w:b/>
      <w:bCs/>
    </w:rPr>
  </w:style>
  <w:style w:type="character" w:customStyle="1" w:styleId="CommentSubjectChar">
    <w:name w:val="Comment Subject Char"/>
    <w:basedOn w:val="CommentTextChar"/>
    <w:link w:val="CommentSubject"/>
    <w:uiPriority w:val="99"/>
    <w:semiHidden/>
    <w:rsid w:val="00473BCE"/>
    <w:rPr>
      <w:b/>
      <w:bCs/>
      <w:sz w:val="20"/>
      <w:szCs w:val="20"/>
    </w:rPr>
  </w:style>
  <w:style w:type="paragraph" w:styleId="Revision">
    <w:name w:val="Revision"/>
    <w:hidden/>
    <w:uiPriority w:val="99"/>
    <w:semiHidden/>
    <w:rsid w:val="00E51A11"/>
    <w:pPr>
      <w:spacing w:after="0" w:line="240" w:lineRule="auto"/>
    </w:pPr>
  </w:style>
  <w:style w:type="paragraph" w:styleId="NormalWeb">
    <w:name w:val="Normal (Web)"/>
    <w:basedOn w:val="Normal"/>
    <w:uiPriority w:val="99"/>
    <w:unhideWhenUsed/>
    <w:rsid w:val="00763B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02366">
      <w:bodyDiv w:val="1"/>
      <w:marLeft w:val="0"/>
      <w:marRight w:val="0"/>
      <w:marTop w:val="0"/>
      <w:marBottom w:val="0"/>
      <w:divBdr>
        <w:top w:val="none" w:sz="0" w:space="0" w:color="auto"/>
        <w:left w:val="none" w:sz="0" w:space="0" w:color="auto"/>
        <w:bottom w:val="none" w:sz="0" w:space="0" w:color="auto"/>
        <w:right w:val="none" w:sz="0" w:space="0" w:color="auto"/>
      </w:divBdr>
      <w:divsChild>
        <w:div w:id="1177573316">
          <w:marLeft w:val="0"/>
          <w:marRight w:val="0"/>
          <w:marTop w:val="75"/>
          <w:marBottom w:val="0"/>
          <w:divBdr>
            <w:top w:val="none" w:sz="0" w:space="0" w:color="auto"/>
            <w:left w:val="none" w:sz="0" w:space="0" w:color="auto"/>
            <w:bottom w:val="none" w:sz="0" w:space="0" w:color="auto"/>
            <w:right w:val="none" w:sz="0" w:space="0" w:color="auto"/>
          </w:divBdr>
          <w:divsChild>
            <w:div w:id="1173299701">
              <w:marLeft w:val="0"/>
              <w:marRight w:val="0"/>
              <w:marTop w:val="0"/>
              <w:marBottom w:val="0"/>
              <w:divBdr>
                <w:top w:val="single" w:sz="6" w:space="8" w:color="CCCCCC"/>
                <w:left w:val="single" w:sz="6" w:space="11" w:color="CCCCCC"/>
                <w:bottom w:val="single" w:sz="18" w:space="19" w:color="999999"/>
                <w:right w:val="single" w:sz="18" w:space="8" w:color="999999"/>
              </w:divBdr>
              <w:divsChild>
                <w:div w:id="7106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9793">
      <w:bodyDiv w:val="1"/>
      <w:marLeft w:val="0"/>
      <w:marRight w:val="0"/>
      <w:marTop w:val="0"/>
      <w:marBottom w:val="0"/>
      <w:divBdr>
        <w:top w:val="none" w:sz="0" w:space="0" w:color="auto"/>
        <w:left w:val="none" w:sz="0" w:space="0" w:color="auto"/>
        <w:bottom w:val="none" w:sz="0" w:space="0" w:color="auto"/>
        <w:right w:val="none" w:sz="0" w:space="0" w:color="auto"/>
      </w:divBdr>
    </w:div>
    <w:div w:id="558634154">
      <w:bodyDiv w:val="1"/>
      <w:marLeft w:val="0"/>
      <w:marRight w:val="0"/>
      <w:marTop w:val="0"/>
      <w:marBottom w:val="0"/>
      <w:divBdr>
        <w:top w:val="none" w:sz="0" w:space="0" w:color="auto"/>
        <w:left w:val="none" w:sz="0" w:space="0" w:color="auto"/>
        <w:bottom w:val="none" w:sz="0" w:space="0" w:color="auto"/>
        <w:right w:val="none" w:sz="0" w:space="0" w:color="auto"/>
      </w:divBdr>
      <w:divsChild>
        <w:div w:id="1278875477">
          <w:marLeft w:val="0"/>
          <w:marRight w:val="0"/>
          <w:marTop w:val="75"/>
          <w:marBottom w:val="0"/>
          <w:divBdr>
            <w:top w:val="none" w:sz="0" w:space="0" w:color="auto"/>
            <w:left w:val="none" w:sz="0" w:space="0" w:color="auto"/>
            <w:bottom w:val="none" w:sz="0" w:space="0" w:color="auto"/>
            <w:right w:val="none" w:sz="0" w:space="0" w:color="auto"/>
          </w:divBdr>
          <w:divsChild>
            <w:div w:id="1061170218">
              <w:marLeft w:val="0"/>
              <w:marRight w:val="0"/>
              <w:marTop w:val="0"/>
              <w:marBottom w:val="0"/>
              <w:divBdr>
                <w:top w:val="single" w:sz="6" w:space="8" w:color="CCCCCC"/>
                <w:left w:val="single" w:sz="6" w:space="11" w:color="CCCCCC"/>
                <w:bottom w:val="single" w:sz="18" w:space="19" w:color="999999"/>
                <w:right w:val="single" w:sz="18" w:space="8" w:color="999999"/>
              </w:divBdr>
              <w:divsChild>
                <w:div w:id="5489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760">
      <w:bodyDiv w:val="1"/>
      <w:marLeft w:val="0"/>
      <w:marRight w:val="0"/>
      <w:marTop w:val="0"/>
      <w:marBottom w:val="0"/>
      <w:divBdr>
        <w:top w:val="none" w:sz="0" w:space="0" w:color="auto"/>
        <w:left w:val="none" w:sz="0" w:space="0" w:color="auto"/>
        <w:bottom w:val="none" w:sz="0" w:space="0" w:color="auto"/>
        <w:right w:val="none" w:sz="0" w:space="0" w:color="auto"/>
      </w:divBdr>
    </w:div>
    <w:div w:id="1451435197">
      <w:bodyDiv w:val="1"/>
      <w:marLeft w:val="0"/>
      <w:marRight w:val="0"/>
      <w:marTop w:val="0"/>
      <w:marBottom w:val="0"/>
      <w:divBdr>
        <w:top w:val="none" w:sz="0" w:space="0" w:color="auto"/>
        <w:left w:val="none" w:sz="0" w:space="0" w:color="auto"/>
        <w:bottom w:val="none" w:sz="0" w:space="0" w:color="auto"/>
        <w:right w:val="none" w:sz="0" w:space="0" w:color="auto"/>
      </w:divBdr>
    </w:div>
    <w:div w:id="163285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dalesafeguarding.com" TargetMode="External"/><Relationship Id="rId13" Type="http://schemas.openxmlformats.org/officeDocument/2006/relationships/hyperlink" Target="http://www.legislation.gov.uk/ukpga/2000/16/contents" TargetMode="External"/><Relationship Id="rId18" Type="http://schemas.openxmlformats.org/officeDocument/2006/relationships/hyperlink" Target="http://www.justice.gov.uk/protecting-the-vulnerable/mental-capacity-a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dass.org.uk/media/5414/adass-guidance-inter-authority-safeguarding-arrangements-june-2016.pdf" TargetMode="External"/><Relationship Id="rId7" Type="http://schemas.openxmlformats.org/officeDocument/2006/relationships/image" Target="media/image1.jpeg"/><Relationship Id="rId12" Type="http://schemas.openxmlformats.org/officeDocument/2006/relationships/hyperlink" Target="http://www.legislation.gov.uk/ukpga/1998/42/contents" TargetMode="External"/><Relationship Id="rId17" Type="http://schemas.openxmlformats.org/officeDocument/2006/relationships/hyperlink" Target="http://www.legislation.gov.uk/ukpga/2005/9/conten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pga/2005/13/contents" TargetMode="External"/><Relationship Id="rId20" Type="http://schemas.openxmlformats.org/officeDocument/2006/relationships/hyperlink" Target="http://www.legislation.gov.uk/ukpga/2012/7/contents/enac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5/12/section/1" TargetMode="External"/><Relationship Id="rId24" Type="http://schemas.openxmlformats.org/officeDocument/2006/relationships/hyperlink" Target="http://plcsab.proceduresonline.com/pdfs/protect_adults_risk_good_pract.pdf" TargetMode="External"/><Relationship Id="rId5" Type="http://schemas.openxmlformats.org/officeDocument/2006/relationships/footnotes" Target="footnotes.xml"/><Relationship Id="rId15" Type="http://schemas.openxmlformats.org/officeDocument/2006/relationships/hyperlink" Target="http://www.legislation.gov.uk/ukpga/2004/15/contents" TargetMode="External"/><Relationship Id="rId23" Type="http://schemas.openxmlformats.org/officeDocument/2006/relationships/hyperlink" Target="http://www.scie.org.uk/publications/reports/report49.pdf" TargetMode="External"/><Relationship Id="rId10" Type="http://schemas.openxmlformats.org/officeDocument/2006/relationships/hyperlink" Target="http://www.legislation.gov.uk/ukpga/1990/19/section/47" TargetMode="External"/><Relationship Id="rId19" Type="http://schemas.openxmlformats.org/officeDocument/2006/relationships/hyperlink" Target="http://webarchive.nationalarchives.gov.uk/20130107105354/http:/www.dh.gov.uk/en/Publicationsandstatistics/Publications/PublicationsPolicyAndGuidance/DH_085476" TargetMode="External"/><Relationship Id="rId4" Type="http://schemas.openxmlformats.org/officeDocument/2006/relationships/webSettings" Target="webSettings.xml"/><Relationship Id="rId9" Type="http://schemas.openxmlformats.org/officeDocument/2006/relationships/hyperlink" Target="http://www.rochdalesafeguarding.com" TargetMode="External"/><Relationship Id="rId14" Type="http://schemas.openxmlformats.org/officeDocument/2006/relationships/hyperlink" Target="http://www.legislation.gov.uk/ukpga/2000/36/contents" TargetMode="External"/><Relationship Id="rId22" Type="http://schemas.openxmlformats.org/officeDocument/2006/relationships/hyperlink" Target="http://www.scie.org.uk/publications/guides/guide15/index.asp"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2015-07-21T09:50:00Z</cp:lastPrinted>
  <dcterms:created xsi:type="dcterms:W3CDTF">2025-09-19T14:31:00Z</dcterms:created>
  <dcterms:modified xsi:type="dcterms:W3CDTF">2025-09-19T14:31:00Z</dcterms:modified>
</cp:coreProperties>
</file>