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46"/>
        <w:tblW w:w="152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8"/>
        <w:gridCol w:w="4972"/>
        <w:gridCol w:w="5226"/>
      </w:tblGrid>
      <w:tr w:rsidR="00C10B3C" w:rsidRPr="009B03EE" w14:paraId="11BE7720" w14:textId="77777777" w:rsidTr="009B03EE">
        <w:trPr>
          <w:trHeight w:val="269"/>
        </w:trPr>
        <w:tc>
          <w:tcPr>
            <w:tcW w:w="5088" w:type="dxa"/>
            <w:shd w:val="clear" w:color="auto" w:fill="990099"/>
          </w:tcPr>
          <w:p w14:paraId="1E76231E" w14:textId="428455DB" w:rsidR="00C10B3C" w:rsidRPr="009B03EE" w:rsidRDefault="0040084F" w:rsidP="00C10B3C">
            <w:pPr>
              <w:jc w:val="center"/>
              <w:rPr>
                <w:b/>
                <w:color w:val="FFFFFF" w:themeColor="background1"/>
                <w:sz w:val="17"/>
                <w:szCs w:val="17"/>
              </w:rPr>
            </w:pPr>
            <w:r w:rsidRPr="009B03EE">
              <w:rPr>
                <w:sz w:val="17"/>
                <w:szCs w:val="17"/>
              </w:rPr>
              <w:fldChar w:fldCharType="begin"/>
            </w:r>
            <w:r w:rsidRPr="009B03EE">
              <w:rPr>
                <w:sz w:val="17"/>
                <w:szCs w:val="17"/>
              </w:rPr>
              <w:instrText>HYPERLINK "https://www.gov.uk/guidance/report-a-serious-child-safeguarding-incident"</w:instrText>
            </w:r>
            <w:r w:rsidRPr="009B03EE">
              <w:rPr>
                <w:sz w:val="17"/>
                <w:szCs w:val="17"/>
              </w:rPr>
            </w:r>
            <w:r w:rsidRPr="009B03EE">
              <w:rPr>
                <w:sz w:val="17"/>
                <w:szCs w:val="17"/>
              </w:rPr>
              <w:fldChar w:fldCharType="separate"/>
            </w:r>
            <w:r w:rsidRPr="009B03EE">
              <w:rPr>
                <w:rStyle w:val="Hyperlink"/>
                <w:color w:val="FFFFFF" w:themeColor="background1"/>
                <w:sz w:val="17"/>
                <w:szCs w:val="17"/>
              </w:rPr>
              <w:t>Serious Incident Notification</w:t>
            </w:r>
            <w:r w:rsidRPr="009B03EE">
              <w:rPr>
                <w:sz w:val="17"/>
                <w:szCs w:val="17"/>
              </w:rPr>
              <w:fldChar w:fldCharType="end"/>
            </w:r>
          </w:p>
        </w:tc>
        <w:tc>
          <w:tcPr>
            <w:tcW w:w="4972" w:type="dxa"/>
            <w:shd w:val="clear" w:color="auto" w:fill="990099"/>
          </w:tcPr>
          <w:p w14:paraId="352E04E0" w14:textId="6128FD6A" w:rsidR="00C10B3C" w:rsidRPr="009B03EE" w:rsidRDefault="0040084F" w:rsidP="00C10B3C">
            <w:pPr>
              <w:jc w:val="center"/>
              <w:rPr>
                <w:b/>
                <w:color w:val="FFFFFF" w:themeColor="background1"/>
                <w:sz w:val="17"/>
                <w:szCs w:val="17"/>
              </w:rPr>
            </w:pPr>
            <w:hyperlink r:id="rId5" w:history="1">
              <w:r w:rsidRPr="009B03EE">
                <w:rPr>
                  <w:rStyle w:val="Hyperlink"/>
                  <w:color w:val="FFFFFF" w:themeColor="background1"/>
                  <w:sz w:val="17"/>
                  <w:szCs w:val="17"/>
                </w:rPr>
                <w:t>Rapid Review</w:t>
              </w:r>
            </w:hyperlink>
          </w:p>
        </w:tc>
        <w:tc>
          <w:tcPr>
            <w:tcW w:w="5226" w:type="dxa"/>
            <w:shd w:val="clear" w:color="auto" w:fill="990099"/>
          </w:tcPr>
          <w:p w14:paraId="417DCA16" w14:textId="28CD58E4" w:rsidR="00C10B3C" w:rsidRPr="009B03EE" w:rsidRDefault="0040084F" w:rsidP="00C10B3C">
            <w:pPr>
              <w:jc w:val="center"/>
              <w:rPr>
                <w:b/>
                <w:color w:val="FFFFFF" w:themeColor="background1"/>
                <w:sz w:val="17"/>
                <w:szCs w:val="17"/>
              </w:rPr>
            </w:pPr>
            <w:hyperlink r:id="rId6" w:history="1">
              <w:r w:rsidRPr="009B03EE">
                <w:rPr>
                  <w:rStyle w:val="Hyperlink"/>
                  <w:color w:val="FFFFFF" w:themeColor="background1"/>
                  <w:sz w:val="17"/>
                  <w:szCs w:val="17"/>
                </w:rPr>
                <w:t>Child Safeguarding Practice Review</w:t>
              </w:r>
            </w:hyperlink>
          </w:p>
        </w:tc>
      </w:tr>
      <w:tr w:rsidR="00C10B3C" w:rsidRPr="009B03EE" w14:paraId="3C19EBB0" w14:textId="77777777" w:rsidTr="009B03EE">
        <w:trPr>
          <w:trHeight w:val="5054"/>
        </w:trPr>
        <w:tc>
          <w:tcPr>
            <w:tcW w:w="5088" w:type="dxa"/>
          </w:tcPr>
          <w:p w14:paraId="268F714B" w14:textId="18D3F89B" w:rsidR="00D12723" w:rsidRPr="009B03EE" w:rsidRDefault="00C10B3C" w:rsidP="00D12723">
            <w:pPr>
              <w:rPr>
                <w:color w:val="990099"/>
                <w:sz w:val="17"/>
                <w:szCs w:val="17"/>
              </w:rPr>
            </w:pPr>
            <w:r w:rsidRPr="009B03EE">
              <w:rPr>
                <w:b/>
                <w:bCs/>
                <w:i/>
                <w:iCs/>
                <w:color w:val="990099"/>
                <w:sz w:val="17"/>
                <w:szCs w:val="17"/>
                <w:u w:val="single"/>
              </w:rPr>
              <w:t>Criteria:</w:t>
            </w:r>
            <w:r w:rsidR="00D12723" w:rsidRPr="009B03EE">
              <w:rPr>
                <w:b/>
                <w:bCs/>
                <w:i/>
                <w:iCs/>
                <w:color w:val="990099"/>
                <w:sz w:val="17"/>
                <w:szCs w:val="17"/>
                <w:u w:val="single"/>
              </w:rPr>
              <w:br/>
            </w:r>
            <w:r w:rsidR="00D12723" w:rsidRPr="009B03EE">
              <w:rPr>
                <w:sz w:val="17"/>
                <w:szCs w:val="17"/>
              </w:rPr>
              <w:t xml:space="preserve">If an agency feels that a case meets the criteria for a Rapid Review, they should submit a </w:t>
            </w:r>
            <w:hyperlink r:id="rId7" w:history="1">
              <w:r w:rsidR="00D12723" w:rsidRPr="009B03EE">
                <w:rPr>
                  <w:rStyle w:val="Hyperlink"/>
                  <w:sz w:val="17"/>
                  <w:szCs w:val="17"/>
                </w:rPr>
                <w:t>Greater Manchester Serious Child Safeguarding Case Notification Form</w:t>
              </w:r>
            </w:hyperlink>
            <w:r w:rsidR="00D12723" w:rsidRPr="009B03EE">
              <w:rPr>
                <w:sz w:val="17"/>
                <w:szCs w:val="17"/>
              </w:rPr>
              <w:t xml:space="preserve"> to the RBSB Business Unit within </w:t>
            </w:r>
            <w:r w:rsidR="00E3776A" w:rsidRPr="009B03EE">
              <w:rPr>
                <w:sz w:val="17"/>
                <w:szCs w:val="17"/>
              </w:rPr>
              <w:t>1</w:t>
            </w:r>
            <w:r w:rsidR="00D12723" w:rsidRPr="009B03EE">
              <w:rPr>
                <w:sz w:val="17"/>
                <w:szCs w:val="17"/>
              </w:rPr>
              <w:t xml:space="preserve"> working day of the incident. </w:t>
            </w:r>
            <w:r w:rsidR="00D12723" w:rsidRPr="009B03EE">
              <w:rPr>
                <w:color w:val="990099"/>
                <w:sz w:val="17"/>
                <w:szCs w:val="17"/>
              </w:rPr>
              <w:br/>
            </w:r>
          </w:p>
          <w:p w14:paraId="1010BD72" w14:textId="4E80E6DE" w:rsidR="00B86A96" w:rsidRPr="009B03EE" w:rsidRDefault="00B86A96" w:rsidP="00B86A96">
            <w:pPr>
              <w:rPr>
                <w:b/>
                <w:bCs/>
                <w:color w:val="990099"/>
                <w:sz w:val="17"/>
                <w:szCs w:val="17"/>
              </w:rPr>
            </w:pPr>
            <w:r w:rsidRPr="009B03EE">
              <w:rPr>
                <w:b/>
                <w:bCs/>
                <w:color w:val="990099"/>
                <w:sz w:val="17"/>
                <w:szCs w:val="17"/>
              </w:rPr>
              <w:t>Children who have died or been seriously harmed and abuse or neglect is known or suspected</w:t>
            </w:r>
            <w:r w:rsidRPr="009B03EE">
              <w:rPr>
                <w:b/>
                <w:bCs/>
                <w:color w:val="990099"/>
                <w:sz w:val="17"/>
                <w:szCs w:val="17"/>
              </w:rPr>
              <w:br/>
            </w:r>
          </w:p>
          <w:p w14:paraId="6D408AB0" w14:textId="77777777" w:rsidR="00B86A96" w:rsidRPr="009B03EE" w:rsidRDefault="00B86A96" w:rsidP="00B86A96">
            <w:pPr>
              <w:rPr>
                <w:b/>
                <w:bCs/>
                <w:color w:val="990099"/>
                <w:sz w:val="17"/>
                <w:szCs w:val="17"/>
              </w:rPr>
            </w:pPr>
            <w:r w:rsidRPr="009B03EE">
              <w:rPr>
                <w:b/>
                <w:bCs/>
                <w:color w:val="990099"/>
                <w:sz w:val="17"/>
                <w:szCs w:val="17"/>
              </w:rPr>
              <w:t>Where it is known or suspected that a child has been abused or neglected you must notify the panel if:</w:t>
            </w:r>
          </w:p>
          <w:p w14:paraId="60157EB1" w14:textId="77777777" w:rsidR="00B86A96" w:rsidRPr="009B03EE" w:rsidRDefault="00B86A96" w:rsidP="00B86A96">
            <w:pPr>
              <w:rPr>
                <w:b/>
                <w:bCs/>
                <w:color w:val="990099"/>
                <w:sz w:val="17"/>
                <w:szCs w:val="17"/>
              </w:rPr>
            </w:pPr>
          </w:p>
          <w:p w14:paraId="33AA36C6" w14:textId="4225A751" w:rsidR="00B86A96" w:rsidRPr="009B03EE" w:rsidRDefault="00B86A96" w:rsidP="00B86A96">
            <w:pPr>
              <w:rPr>
                <w:b/>
                <w:bCs/>
                <w:color w:val="990099"/>
                <w:sz w:val="17"/>
                <w:szCs w:val="17"/>
              </w:rPr>
            </w:pPr>
            <w:r w:rsidRPr="009B03EE">
              <w:rPr>
                <w:b/>
                <w:bCs/>
                <w:color w:val="990099"/>
                <w:sz w:val="17"/>
                <w:szCs w:val="17"/>
              </w:rPr>
              <w:t>-a child dies or is seriously harmed in your area</w:t>
            </w:r>
          </w:p>
          <w:p w14:paraId="4A1F92C4" w14:textId="3990B202" w:rsidR="00D12723" w:rsidRPr="009B03EE" w:rsidRDefault="00B86A96" w:rsidP="00B86A96">
            <w:pPr>
              <w:rPr>
                <w:b/>
                <w:bCs/>
                <w:i/>
                <w:iCs/>
                <w:color w:val="990099"/>
                <w:sz w:val="17"/>
                <w:szCs w:val="17"/>
                <w:u w:val="single"/>
              </w:rPr>
            </w:pPr>
            <w:r w:rsidRPr="009B03EE">
              <w:rPr>
                <w:b/>
                <w:bCs/>
                <w:color w:val="990099"/>
                <w:sz w:val="17"/>
                <w:szCs w:val="17"/>
              </w:rPr>
              <w:t>-a child is a resident of your area but dies or is seriously harmed outside England</w:t>
            </w:r>
            <w:r w:rsidR="00D12723" w:rsidRPr="009B03EE">
              <w:rPr>
                <w:b/>
                <w:bCs/>
                <w:i/>
                <w:iCs/>
                <w:color w:val="990099"/>
                <w:sz w:val="17"/>
                <w:szCs w:val="17"/>
                <w:u w:val="single"/>
              </w:rPr>
              <w:br/>
            </w:r>
            <w:r w:rsidR="00D12723" w:rsidRPr="009B03EE">
              <w:rPr>
                <w:b/>
                <w:bCs/>
                <w:i/>
                <w:iCs/>
                <w:color w:val="990099"/>
                <w:sz w:val="17"/>
                <w:szCs w:val="17"/>
                <w:u w:val="single"/>
              </w:rPr>
              <w:br/>
            </w:r>
            <w:r w:rsidR="00D12723" w:rsidRPr="009B03EE">
              <w:rPr>
                <w:sz w:val="17"/>
                <w:szCs w:val="17"/>
              </w:rPr>
              <w:t>following the referral to the RBSB Business Unit, a local SIN meeting will take place to agree threshold.</w:t>
            </w:r>
            <w:r w:rsidR="00D12723" w:rsidRPr="009B03EE">
              <w:rPr>
                <w:b/>
                <w:bCs/>
                <w:i/>
                <w:iCs/>
                <w:sz w:val="17"/>
                <w:szCs w:val="17"/>
                <w:u w:val="single"/>
              </w:rPr>
              <w:t xml:space="preserve"> </w:t>
            </w:r>
          </w:p>
          <w:p w14:paraId="26F18969" w14:textId="26579447" w:rsidR="00C10B3C" w:rsidRPr="009B03EE" w:rsidRDefault="00C10B3C" w:rsidP="00D12723">
            <w:pPr>
              <w:rPr>
                <w:sz w:val="17"/>
                <w:szCs w:val="17"/>
              </w:rPr>
            </w:pPr>
            <w:r w:rsidRPr="009B03EE">
              <w:rPr>
                <w:sz w:val="17"/>
                <w:szCs w:val="17"/>
              </w:rPr>
              <w:br/>
              <w:t xml:space="preserve">Local authorities must notify the </w:t>
            </w:r>
            <w:r w:rsidR="00D12723" w:rsidRPr="009B03EE">
              <w:rPr>
                <w:sz w:val="17"/>
                <w:szCs w:val="17"/>
              </w:rPr>
              <w:t xml:space="preserve">National </w:t>
            </w:r>
            <w:r w:rsidRPr="009B03EE">
              <w:rPr>
                <w:sz w:val="17"/>
                <w:szCs w:val="17"/>
              </w:rPr>
              <w:t>Child Safeguarding Practice Review Panel within 5 working days of becoming aware that an incident has occurred. You need to submit the notification through the child safeguarding incident notification system.</w:t>
            </w:r>
          </w:p>
          <w:p w14:paraId="4CAB8EDD" w14:textId="4ECFC1A2" w:rsidR="00C10B3C" w:rsidRPr="009B03EE" w:rsidRDefault="00C10B3C" w:rsidP="00C10B3C">
            <w:pPr>
              <w:jc w:val="both"/>
              <w:rPr>
                <w:sz w:val="17"/>
                <w:szCs w:val="17"/>
              </w:rPr>
            </w:pPr>
          </w:p>
        </w:tc>
        <w:tc>
          <w:tcPr>
            <w:tcW w:w="4972" w:type="dxa"/>
          </w:tcPr>
          <w:p w14:paraId="5357ED88" w14:textId="6E01D3DD" w:rsidR="003D5BAA" w:rsidRPr="009B03EE" w:rsidRDefault="003D5BAA" w:rsidP="003D5BAA">
            <w:pPr>
              <w:shd w:val="clear" w:color="auto" w:fill="FFFFFF" w:themeFill="background1"/>
              <w:jc w:val="both"/>
              <w:rPr>
                <w:b/>
                <w:bCs/>
                <w:color w:val="990099"/>
                <w:sz w:val="17"/>
                <w:szCs w:val="17"/>
                <w:u w:val="single"/>
              </w:rPr>
            </w:pPr>
            <w:r w:rsidRPr="009B03EE">
              <w:rPr>
                <w:b/>
                <w:bCs/>
                <w:color w:val="990099"/>
                <w:sz w:val="17"/>
                <w:szCs w:val="17"/>
                <w:u w:val="single"/>
              </w:rPr>
              <w:t>Conclusion at rapid review</w:t>
            </w:r>
            <w:r w:rsidR="0040084F" w:rsidRPr="009B03EE">
              <w:rPr>
                <w:b/>
                <w:bCs/>
                <w:color w:val="990099"/>
                <w:sz w:val="17"/>
                <w:szCs w:val="17"/>
                <w:u w:val="single"/>
              </w:rPr>
              <w:t>:</w:t>
            </w:r>
          </w:p>
          <w:p w14:paraId="09875B50" w14:textId="77777777" w:rsidR="003D5BAA" w:rsidRPr="009B03EE" w:rsidRDefault="003D5BAA" w:rsidP="003D5BAA">
            <w:pPr>
              <w:rPr>
                <w:sz w:val="17"/>
                <w:szCs w:val="17"/>
              </w:rPr>
            </w:pPr>
            <w:r w:rsidRPr="009B03EE">
              <w:rPr>
                <w:sz w:val="17"/>
                <w:szCs w:val="17"/>
              </w:rPr>
              <w:t xml:space="preserve">The criteria safeguarding partners must </w:t>
            </w:r>
            <w:proofErr w:type="gramStart"/>
            <w:r w:rsidRPr="009B03EE">
              <w:rPr>
                <w:sz w:val="17"/>
                <w:szCs w:val="17"/>
              </w:rPr>
              <w:t>take into account</w:t>
            </w:r>
            <w:proofErr w:type="gramEnd"/>
            <w:r w:rsidRPr="009B03EE">
              <w:rPr>
                <w:sz w:val="17"/>
                <w:szCs w:val="17"/>
              </w:rPr>
              <w:t xml:space="preserve"> include whether the case:</w:t>
            </w:r>
          </w:p>
          <w:p w14:paraId="28C6D27F" w14:textId="77777777" w:rsidR="003D5BAA" w:rsidRPr="009B03EE" w:rsidRDefault="003D5BAA" w:rsidP="003D5BAA">
            <w:pPr>
              <w:rPr>
                <w:sz w:val="17"/>
                <w:szCs w:val="17"/>
              </w:rPr>
            </w:pPr>
            <w:r w:rsidRPr="009B03EE">
              <w:rPr>
                <w:sz w:val="17"/>
                <w:szCs w:val="17"/>
              </w:rPr>
              <w:t xml:space="preserve"> • highlights or may highlight improvements needed to safeguard and promote the welfare of children, including where those improvements have been previously identified </w:t>
            </w:r>
          </w:p>
          <w:p w14:paraId="6E862215" w14:textId="77777777" w:rsidR="003D5BAA" w:rsidRPr="009B03EE" w:rsidRDefault="003D5BAA" w:rsidP="003D5BAA">
            <w:pPr>
              <w:rPr>
                <w:sz w:val="17"/>
                <w:szCs w:val="17"/>
              </w:rPr>
            </w:pPr>
            <w:r w:rsidRPr="009B03EE">
              <w:rPr>
                <w:sz w:val="17"/>
                <w:szCs w:val="17"/>
              </w:rPr>
              <w:t>• highlights or may highlight recurrent themes in the safeguarding and promotion of the welfare of children</w:t>
            </w:r>
          </w:p>
          <w:p w14:paraId="2AD67891" w14:textId="77777777" w:rsidR="003D5BAA" w:rsidRPr="009B03EE" w:rsidRDefault="003D5BAA" w:rsidP="003D5BAA">
            <w:pPr>
              <w:rPr>
                <w:sz w:val="17"/>
                <w:szCs w:val="17"/>
              </w:rPr>
            </w:pPr>
            <w:r w:rsidRPr="009B03EE">
              <w:rPr>
                <w:sz w:val="17"/>
                <w:szCs w:val="17"/>
              </w:rPr>
              <w:t xml:space="preserve"> • highlights or may highlight concerns regarding two or more organisations or agencies working together effectively to safeguard and promote the welfare of children </w:t>
            </w:r>
          </w:p>
          <w:p w14:paraId="00DC0CC0" w14:textId="77777777" w:rsidR="003D5BAA" w:rsidRPr="009B03EE" w:rsidRDefault="003D5BAA" w:rsidP="003D5BAA">
            <w:pPr>
              <w:rPr>
                <w:sz w:val="17"/>
                <w:szCs w:val="17"/>
              </w:rPr>
            </w:pPr>
            <w:r w:rsidRPr="009B03EE">
              <w:rPr>
                <w:sz w:val="17"/>
                <w:szCs w:val="17"/>
              </w:rPr>
              <w:t>• is one the panel has considered and has concluded a local review may be more appropriate</w:t>
            </w:r>
          </w:p>
          <w:p w14:paraId="14E1CC76" w14:textId="77777777" w:rsidR="003D5BAA" w:rsidRPr="009B03EE" w:rsidRDefault="003D5BAA" w:rsidP="003D5BAA">
            <w:pPr>
              <w:rPr>
                <w:sz w:val="17"/>
                <w:szCs w:val="17"/>
              </w:rPr>
            </w:pPr>
          </w:p>
          <w:p w14:paraId="356D92E0" w14:textId="77777777" w:rsidR="003D5BAA" w:rsidRPr="009B03EE" w:rsidRDefault="003D5BAA" w:rsidP="003D5BAA">
            <w:pPr>
              <w:rPr>
                <w:sz w:val="17"/>
                <w:szCs w:val="17"/>
              </w:rPr>
            </w:pPr>
            <w:r w:rsidRPr="009B03EE">
              <w:rPr>
                <w:sz w:val="17"/>
                <w:szCs w:val="17"/>
              </w:rPr>
              <w:t>Safeguarding partners should also have regard to circumstances where:</w:t>
            </w:r>
          </w:p>
          <w:p w14:paraId="47A86FB5" w14:textId="77777777" w:rsidR="003D5BAA" w:rsidRPr="009B03EE" w:rsidRDefault="003D5BAA" w:rsidP="003D5BAA">
            <w:pPr>
              <w:rPr>
                <w:sz w:val="17"/>
                <w:szCs w:val="17"/>
              </w:rPr>
            </w:pPr>
            <w:r w:rsidRPr="009B03EE">
              <w:rPr>
                <w:sz w:val="17"/>
                <w:szCs w:val="17"/>
              </w:rPr>
              <w:t>• they have cause for concern about the actions of a single agency</w:t>
            </w:r>
          </w:p>
          <w:p w14:paraId="23D24A1F" w14:textId="77777777" w:rsidR="003D5BAA" w:rsidRPr="009B03EE" w:rsidRDefault="003D5BAA" w:rsidP="003D5BAA">
            <w:pPr>
              <w:rPr>
                <w:sz w:val="17"/>
                <w:szCs w:val="17"/>
              </w:rPr>
            </w:pPr>
            <w:r w:rsidRPr="009B03EE">
              <w:rPr>
                <w:sz w:val="17"/>
                <w:szCs w:val="17"/>
              </w:rPr>
              <w:t>• there has been no agency involvement, and this gives them cause for concern</w:t>
            </w:r>
          </w:p>
          <w:p w14:paraId="55725928" w14:textId="77777777" w:rsidR="003D5BAA" w:rsidRPr="009B03EE" w:rsidRDefault="003D5BAA" w:rsidP="003D5BAA">
            <w:pPr>
              <w:rPr>
                <w:sz w:val="17"/>
                <w:szCs w:val="17"/>
              </w:rPr>
            </w:pPr>
            <w:r w:rsidRPr="009B03EE">
              <w:rPr>
                <w:sz w:val="17"/>
                <w:szCs w:val="17"/>
              </w:rPr>
              <w:t>• more than one local authority, police area or ICB is involved, including in cases where a family has moved around</w:t>
            </w:r>
          </w:p>
          <w:p w14:paraId="3C9B43F7" w14:textId="096CB00C" w:rsidR="003D5BAA" w:rsidRPr="009B03EE" w:rsidRDefault="003D5BAA" w:rsidP="003D5BAA">
            <w:pPr>
              <w:rPr>
                <w:sz w:val="17"/>
                <w:szCs w:val="17"/>
              </w:rPr>
            </w:pPr>
            <w:r w:rsidRPr="009B03EE">
              <w:rPr>
                <w:sz w:val="17"/>
                <w:szCs w:val="17"/>
              </w:rPr>
              <w:t>• the case may raise issues related to safeguarding or promoting the welfare of children in institutional settings</w:t>
            </w:r>
          </w:p>
        </w:tc>
        <w:tc>
          <w:tcPr>
            <w:tcW w:w="5226" w:type="dxa"/>
          </w:tcPr>
          <w:p w14:paraId="245907E2" w14:textId="77777777" w:rsidR="003D5BAA" w:rsidRPr="009B03EE" w:rsidRDefault="003D5BAA" w:rsidP="003D5BAA">
            <w:pPr>
              <w:shd w:val="clear" w:color="auto" w:fill="FFFFFF"/>
              <w:jc w:val="both"/>
              <w:rPr>
                <w:sz w:val="17"/>
                <w:szCs w:val="17"/>
              </w:rPr>
            </w:pPr>
            <w:r w:rsidRPr="009B03EE">
              <w:rPr>
                <w:sz w:val="17"/>
                <w:szCs w:val="17"/>
              </w:rPr>
              <w:t>The purpose of an LCSPR is to help agencies and individuals improve their work to protect children.</w:t>
            </w:r>
          </w:p>
          <w:p w14:paraId="06902E44" w14:textId="77777777" w:rsidR="003D5BAA" w:rsidRPr="009B03EE" w:rsidRDefault="003D5BAA" w:rsidP="003D5BAA">
            <w:pPr>
              <w:shd w:val="clear" w:color="auto" w:fill="FFFFFF"/>
              <w:jc w:val="both"/>
              <w:rPr>
                <w:sz w:val="17"/>
                <w:szCs w:val="17"/>
              </w:rPr>
            </w:pPr>
          </w:p>
          <w:p w14:paraId="644B8CEA" w14:textId="77777777" w:rsidR="003D5BAA" w:rsidRPr="009B03EE" w:rsidRDefault="003D5BAA" w:rsidP="003D5BAA">
            <w:pPr>
              <w:shd w:val="clear" w:color="auto" w:fill="FFFFFF"/>
              <w:jc w:val="both"/>
              <w:rPr>
                <w:sz w:val="17"/>
                <w:szCs w:val="17"/>
              </w:rPr>
            </w:pPr>
            <w:r w:rsidRPr="009B03EE">
              <w:rPr>
                <w:sz w:val="17"/>
                <w:szCs w:val="17"/>
              </w:rPr>
              <w:t>An LCSPR should: </w:t>
            </w:r>
          </w:p>
          <w:p w14:paraId="4169DF46" w14:textId="77777777" w:rsidR="003D5BAA" w:rsidRPr="009B03EE" w:rsidRDefault="003D5BAA" w:rsidP="003D5BAA">
            <w:pPr>
              <w:numPr>
                <w:ilvl w:val="0"/>
                <w:numId w:val="7"/>
              </w:numPr>
              <w:shd w:val="clear" w:color="auto" w:fill="FFFFFF"/>
              <w:jc w:val="both"/>
              <w:rPr>
                <w:sz w:val="17"/>
                <w:szCs w:val="17"/>
              </w:rPr>
            </w:pPr>
            <w:r w:rsidRPr="009B03EE">
              <w:rPr>
                <w:sz w:val="17"/>
                <w:szCs w:val="17"/>
              </w:rPr>
              <w:t>Provide a brief overview of the case</w:t>
            </w:r>
          </w:p>
          <w:p w14:paraId="15A75A59" w14:textId="77777777" w:rsidR="003D5BAA" w:rsidRPr="009B03EE" w:rsidRDefault="003D5BAA" w:rsidP="003D5BAA">
            <w:pPr>
              <w:numPr>
                <w:ilvl w:val="0"/>
                <w:numId w:val="7"/>
              </w:numPr>
              <w:shd w:val="clear" w:color="auto" w:fill="FFFFFF"/>
              <w:jc w:val="both"/>
              <w:rPr>
                <w:sz w:val="17"/>
                <w:szCs w:val="17"/>
              </w:rPr>
            </w:pPr>
            <w:r w:rsidRPr="009B03EE">
              <w:rPr>
                <w:sz w:val="17"/>
                <w:szCs w:val="17"/>
              </w:rPr>
              <w:t>Summarize why relevant decisions were made</w:t>
            </w:r>
          </w:p>
          <w:p w14:paraId="5041BA9C" w14:textId="77777777" w:rsidR="003D5BAA" w:rsidRPr="009B03EE" w:rsidRDefault="003D5BAA" w:rsidP="003D5BAA">
            <w:pPr>
              <w:numPr>
                <w:ilvl w:val="0"/>
                <w:numId w:val="7"/>
              </w:numPr>
              <w:shd w:val="clear" w:color="auto" w:fill="FFFFFF"/>
              <w:jc w:val="both"/>
              <w:rPr>
                <w:sz w:val="17"/>
                <w:szCs w:val="17"/>
              </w:rPr>
            </w:pPr>
            <w:r w:rsidRPr="009B03EE">
              <w:rPr>
                <w:sz w:val="17"/>
                <w:szCs w:val="17"/>
              </w:rPr>
              <w:t>Critique how agencies worked together</w:t>
            </w:r>
          </w:p>
          <w:p w14:paraId="04A0C7F2" w14:textId="77777777" w:rsidR="003D5BAA" w:rsidRPr="009B03EE" w:rsidRDefault="003D5BAA" w:rsidP="003D5BAA">
            <w:pPr>
              <w:numPr>
                <w:ilvl w:val="0"/>
                <w:numId w:val="7"/>
              </w:numPr>
              <w:shd w:val="clear" w:color="auto" w:fill="FFFFFF"/>
              <w:jc w:val="both"/>
              <w:rPr>
                <w:sz w:val="17"/>
                <w:szCs w:val="17"/>
              </w:rPr>
            </w:pPr>
            <w:r w:rsidRPr="009B03EE">
              <w:rPr>
                <w:sz w:val="17"/>
                <w:szCs w:val="17"/>
              </w:rPr>
              <w:t>Identify what needs to be done differently to prevent harm</w:t>
            </w:r>
          </w:p>
          <w:p w14:paraId="27233727" w14:textId="77777777" w:rsidR="003D5BAA" w:rsidRPr="009B03EE" w:rsidRDefault="003D5BAA" w:rsidP="003D5BAA">
            <w:pPr>
              <w:numPr>
                <w:ilvl w:val="0"/>
                <w:numId w:val="7"/>
              </w:numPr>
              <w:shd w:val="clear" w:color="auto" w:fill="FFFFFF"/>
              <w:jc w:val="both"/>
              <w:rPr>
                <w:sz w:val="17"/>
                <w:szCs w:val="17"/>
              </w:rPr>
            </w:pPr>
            <w:r w:rsidRPr="009B03EE">
              <w:rPr>
                <w:sz w:val="17"/>
                <w:szCs w:val="17"/>
              </w:rPr>
              <w:t>Identify what needs to happen to ensure agencies learn from the case</w:t>
            </w:r>
          </w:p>
          <w:p w14:paraId="0D079B67" w14:textId="77777777" w:rsidR="003D5BAA" w:rsidRPr="009B03EE" w:rsidRDefault="003D5BAA" w:rsidP="003D5BAA">
            <w:pPr>
              <w:shd w:val="clear" w:color="auto" w:fill="FFFFFF"/>
              <w:jc w:val="both"/>
              <w:rPr>
                <w:sz w:val="17"/>
                <w:szCs w:val="17"/>
              </w:rPr>
            </w:pPr>
          </w:p>
          <w:p w14:paraId="77E175C9" w14:textId="77777777" w:rsidR="003D5BAA" w:rsidRPr="009B03EE" w:rsidRDefault="003D5BAA" w:rsidP="003D5BAA">
            <w:pPr>
              <w:shd w:val="clear" w:color="auto" w:fill="FFFFFF"/>
              <w:jc w:val="both"/>
              <w:rPr>
                <w:sz w:val="17"/>
                <w:szCs w:val="17"/>
              </w:rPr>
            </w:pPr>
            <w:r w:rsidRPr="009B03EE">
              <w:rPr>
                <w:sz w:val="17"/>
                <w:szCs w:val="17"/>
              </w:rPr>
              <w:t>Utilise RBSCP process to establish LSCPR action plan.</w:t>
            </w:r>
          </w:p>
          <w:p w14:paraId="6FBC6CA3" w14:textId="77777777" w:rsidR="00C10B3C" w:rsidRPr="009B03EE" w:rsidRDefault="00C10B3C" w:rsidP="00C10B3C">
            <w:pPr>
              <w:rPr>
                <w:sz w:val="17"/>
                <w:szCs w:val="17"/>
              </w:rPr>
            </w:pPr>
          </w:p>
          <w:p w14:paraId="14B9EF31" w14:textId="2BF72E15" w:rsidR="00AA6105" w:rsidRPr="009B03EE" w:rsidRDefault="00AA6105" w:rsidP="00C10B3C">
            <w:pPr>
              <w:rPr>
                <w:sz w:val="17"/>
                <w:szCs w:val="17"/>
              </w:rPr>
            </w:pPr>
            <w:r w:rsidRPr="009B03EE">
              <w:rPr>
                <w:sz w:val="17"/>
                <w:szCs w:val="17"/>
              </w:rPr>
              <w:t>As well as considering a notification from a local authority, information from a rapid review and local child safeguarding practice reviews, the panel should consider a range of other evidence, including inspection and other reports and research. The panel may also consider any other criteria it considers appropriate to identify whether a serious child safeguarding case raises issues that are complex or of national importance</w:t>
            </w:r>
          </w:p>
        </w:tc>
      </w:tr>
      <w:tr w:rsidR="00C10B3C" w:rsidRPr="009B03EE" w14:paraId="30B6C6D9" w14:textId="77777777" w:rsidTr="009B03EE">
        <w:trPr>
          <w:trHeight w:val="3935"/>
        </w:trPr>
        <w:tc>
          <w:tcPr>
            <w:tcW w:w="5088" w:type="dxa"/>
          </w:tcPr>
          <w:p w14:paraId="4973A451" w14:textId="77777777" w:rsidR="00C10B3C" w:rsidRPr="009B03EE" w:rsidRDefault="00C10B3C" w:rsidP="00C10B3C">
            <w:pPr>
              <w:rPr>
                <w:b/>
                <w:color w:val="990099"/>
                <w:sz w:val="17"/>
                <w:szCs w:val="17"/>
              </w:rPr>
            </w:pPr>
            <w:r w:rsidRPr="009B03EE">
              <w:rPr>
                <w:b/>
                <w:color w:val="990099"/>
                <w:sz w:val="17"/>
                <w:szCs w:val="17"/>
              </w:rPr>
              <w:t>Next Steps:</w:t>
            </w:r>
          </w:p>
          <w:p w14:paraId="7473880C" w14:textId="77777777" w:rsidR="00C10B3C" w:rsidRPr="009B03EE" w:rsidRDefault="00C10B3C" w:rsidP="00C10B3C">
            <w:pPr>
              <w:jc w:val="both"/>
              <w:rPr>
                <w:sz w:val="17"/>
                <w:szCs w:val="17"/>
              </w:rPr>
            </w:pPr>
            <w:r w:rsidRPr="009B03EE">
              <w:rPr>
                <w:sz w:val="17"/>
                <w:szCs w:val="17"/>
              </w:rPr>
              <w:t>Children Social Care must submit the notification via the child safeguarding notification system within 5 days.</w:t>
            </w:r>
          </w:p>
          <w:p w14:paraId="0F371F49" w14:textId="77777777" w:rsidR="00C10B3C" w:rsidRPr="009B03EE" w:rsidRDefault="00C10B3C" w:rsidP="00C10B3C">
            <w:pPr>
              <w:jc w:val="both"/>
              <w:rPr>
                <w:sz w:val="17"/>
                <w:szCs w:val="17"/>
              </w:rPr>
            </w:pPr>
          </w:p>
          <w:p w14:paraId="04339FE7" w14:textId="77777777" w:rsidR="00C10B3C" w:rsidRPr="009B03EE" w:rsidRDefault="00C10B3C" w:rsidP="00C10B3C">
            <w:pPr>
              <w:jc w:val="both"/>
              <w:rPr>
                <w:sz w:val="17"/>
                <w:szCs w:val="17"/>
              </w:rPr>
            </w:pPr>
            <w:r w:rsidRPr="009B03EE">
              <w:rPr>
                <w:sz w:val="17"/>
                <w:szCs w:val="17"/>
              </w:rPr>
              <w:t>When safeguarding partners notify the Panel about a serious incident they must undertake a rapid review of the child’s experience within 15 working days, calculated from the date that the notification was sent to the Panel. One of the key purposes of a rapid review is to identify if there is any immediate action required to ensure children’s safety, therefore meetings need to be held promptly. Safeguarding partners should also use this process to identify areas for learning and improvement in how agencies are working together, including whether the serious harm or death seen in this incident may be indicative of wider system problems at a local level.</w:t>
            </w:r>
          </w:p>
          <w:p w14:paraId="4F1D4159" w14:textId="46FBEB5B" w:rsidR="00C10B3C" w:rsidRPr="009B03EE" w:rsidRDefault="00C10B3C" w:rsidP="00C10B3C">
            <w:pPr>
              <w:rPr>
                <w:sz w:val="17"/>
                <w:szCs w:val="17"/>
              </w:rPr>
            </w:pPr>
            <w:r w:rsidRPr="009B03EE">
              <w:rPr>
                <w:sz w:val="17"/>
                <w:szCs w:val="17"/>
              </w:rPr>
              <w:br/>
              <w:t xml:space="preserve">Safeguarding partners should inform the Panel if rapid reviews will be delayed beyond 15 working days from the date of notification, including the reason for the delay and when the report will be submitted to </w:t>
            </w:r>
            <w:hyperlink r:id="rId8" w:history="1">
              <w:r w:rsidR="001F2A14" w:rsidRPr="009B03EE">
                <w:rPr>
                  <w:rStyle w:val="Hyperlink"/>
                  <w:sz w:val="17"/>
                  <w:szCs w:val="17"/>
                </w:rPr>
                <w:t>Mailbox.NationalReviewPanel@education.gov.uk</w:t>
              </w:r>
            </w:hyperlink>
            <w:r w:rsidR="001F2A14" w:rsidRPr="009B03EE">
              <w:rPr>
                <w:sz w:val="17"/>
                <w:szCs w:val="17"/>
              </w:rPr>
              <w:t xml:space="preserve"> </w:t>
            </w:r>
          </w:p>
        </w:tc>
        <w:tc>
          <w:tcPr>
            <w:tcW w:w="4972" w:type="dxa"/>
          </w:tcPr>
          <w:p w14:paraId="2E7ED214" w14:textId="6446ECF7" w:rsidR="003D5BAA" w:rsidRPr="009B03EE" w:rsidRDefault="00C10B3C" w:rsidP="00AA6105">
            <w:pPr>
              <w:rPr>
                <w:b/>
                <w:noProof/>
                <w:color w:val="990099"/>
                <w:sz w:val="17"/>
                <w:szCs w:val="17"/>
                <w:lang w:eastAsia="en-GB"/>
              </w:rPr>
            </w:pPr>
            <w:r w:rsidRPr="009B03EE">
              <w:rPr>
                <w:b/>
                <w:color w:val="990099"/>
                <w:sz w:val="17"/>
                <w:szCs w:val="17"/>
              </w:rPr>
              <w:t>Next Steps:</w:t>
            </w:r>
            <w:r w:rsidRPr="009B03EE">
              <w:rPr>
                <w:b/>
                <w:noProof/>
                <w:color w:val="990099"/>
                <w:sz w:val="17"/>
                <w:szCs w:val="17"/>
                <w:lang w:eastAsia="en-GB"/>
              </w:rPr>
              <w:t xml:space="preserve"> </w:t>
            </w:r>
          </w:p>
          <w:p w14:paraId="4E8B618D" w14:textId="438D4A3B" w:rsidR="00C10B3C" w:rsidRPr="009B03EE" w:rsidRDefault="00C10B3C" w:rsidP="00AA6105">
            <w:pPr>
              <w:rPr>
                <w:sz w:val="17"/>
                <w:szCs w:val="17"/>
              </w:rPr>
            </w:pPr>
            <w:r w:rsidRPr="009B03EE">
              <w:rPr>
                <w:sz w:val="17"/>
                <w:szCs w:val="17"/>
              </w:rPr>
              <w:t>As soon as the rapid review is complete, the safeguarding partners should send a copy of their findings to National Panel</w:t>
            </w:r>
          </w:p>
          <w:p w14:paraId="72DAEDCD" w14:textId="3C539922" w:rsidR="00C10B3C" w:rsidRPr="009B03EE" w:rsidRDefault="00C10B3C" w:rsidP="00AA6105">
            <w:pPr>
              <w:rPr>
                <w:sz w:val="17"/>
                <w:szCs w:val="17"/>
              </w:rPr>
            </w:pPr>
            <w:r w:rsidRPr="009B03EE">
              <w:rPr>
                <w:sz w:val="17"/>
                <w:szCs w:val="17"/>
              </w:rPr>
              <w:t>Safeguarding partners must consider whether the case meets the criteria and guidance for a LSCPR.</w:t>
            </w:r>
            <w:r w:rsidR="003D5BAA" w:rsidRPr="009B03EE">
              <w:rPr>
                <w:sz w:val="17"/>
                <w:szCs w:val="17"/>
              </w:rPr>
              <w:br/>
            </w:r>
          </w:p>
          <w:p w14:paraId="53E1C204" w14:textId="77777777" w:rsidR="00C10B3C" w:rsidRPr="009B03EE" w:rsidRDefault="00C10B3C" w:rsidP="00AA6105">
            <w:pPr>
              <w:rPr>
                <w:sz w:val="17"/>
                <w:szCs w:val="17"/>
              </w:rPr>
            </w:pPr>
            <w:r w:rsidRPr="009B03EE">
              <w:rPr>
                <w:sz w:val="17"/>
                <w:szCs w:val="17"/>
              </w:rPr>
              <w:t>All incidents should be considered on a case-by-case basis. Decisions on whether to undertake reviews should be made transparently and collaboratively between safeguarding partners.</w:t>
            </w:r>
          </w:p>
          <w:p w14:paraId="16DCE6B4" w14:textId="77777777" w:rsidR="00C10B3C" w:rsidRPr="009B03EE" w:rsidRDefault="00C10B3C" w:rsidP="00AA6105">
            <w:pPr>
              <w:rPr>
                <w:sz w:val="17"/>
                <w:szCs w:val="17"/>
              </w:rPr>
            </w:pPr>
          </w:p>
          <w:p w14:paraId="338B334D" w14:textId="77777777" w:rsidR="00C10B3C" w:rsidRPr="009B03EE" w:rsidRDefault="00C10B3C" w:rsidP="00AA6105">
            <w:pPr>
              <w:rPr>
                <w:sz w:val="17"/>
                <w:szCs w:val="17"/>
              </w:rPr>
            </w:pPr>
            <w:r w:rsidRPr="009B03EE">
              <w:rPr>
                <w:sz w:val="17"/>
                <w:szCs w:val="17"/>
              </w:rPr>
              <w:t>Pending Rapid Review decision:</w:t>
            </w:r>
          </w:p>
          <w:p w14:paraId="1C3849F0" w14:textId="1007507C" w:rsidR="003D5BAA" w:rsidRPr="009B03EE" w:rsidRDefault="003D5BAA" w:rsidP="00AA6105">
            <w:pPr>
              <w:pStyle w:val="ListParagraph"/>
              <w:numPr>
                <w:ilvl w:val="0"/>
                <w:numId w:val="9"/>
              </w:numPr>
              <w:rPr>
                <w:sz w:val="17"/>
                <w:szCs w:val="17"/>
              </w:rPr>
            </w:pPr>
            <w:r w:rsidRPr="009B03EE">
              <w:rPr>
                <w:sz w:val="17"/>
                <w:szCs w:val="17"/>
              </w:rPr>
              <w:t xml:space="preserve">Agree key lines of enquiry </w:t>
            </w:r>
          </w:p>
          <w:p w14:paraId="5E570597" w14:textId="10EF9CE2" w:rsidR="00306CC2" w:rsidRPr="009B03EE" w:rsidRDefault="00C10B3C" w:rsidP="00AA6105">
            <w:pPr>
              <w:pStyle w:val="ListParagraph"/>
              <w:numPr>
                <w:ilvl w:val="0"/>
                <w:numId w:val="5"/>
              </w:numPr>
              <w:rPr>
                <w:sz w:val="17"/>
                <w:szCs w:val="17"/>
              </w:rPr>
            </w:pPr>
            <w:r w:rsidRPr="009B03EE">
              <w:rPr>
                <w:sz w:val="17"/>
                <w:szCs w:val="17"/>
              </w:rPr>
              <w:t>commission and oversee a LCSPR</w:t>
            </w:r>
          </w:p>
          <w:p w14:paraId="5875E438" w14:textId="77777777" w:rsidR="00C10B3C" w:rsidRPr="009B03EE" w:rsidRDefault="00C10B3C" w:rsidP="00AA6105">
            <w:pPr>
              <w:pStyle w:val="ListParagraph"/>
              <w:numPr>
                <w:ilvl w:val="0"/>
                <w:numId w:val="5"/>
              </w:numPr>
              <w:rPr>
                <w:sz w:val="17"/>
                <w:szCs w:val="17"/>
              </w:rPr>
            </w:pPr>
            <w:r w:rsidRPr="009B03EE">
              <w:rPr>
                <w:sz w:val="17"/>
                <w:szCs w:val="17"/>
              </w:rPr>
              <w:t>undertake learning as decided by safeguarding partners.</w:t>
            </w:r>
          </w:p>
        </w:tc>
        <w:tc>
          <w:tcPr>
            <w:tcW w:w="5226" w:type="dxa"/>
          </w:tcPr>
          <w:p w14:paraId="7C25322D" w14:textId="0FFDA304" w:rsidR="003D5BAA" w:rsidRPr="009B03EE" w:rsidRDefault="00C10B3C" w:rsidP="001F2A14">
            <w:pPr>
              <w:shd w:val="clear" w:color="auto" w:fill="FFFFFF"/>
              <w:rPr>
                <w:b/>
                <w:color w:val="990099"/>
                <w:sz w:val="17"/>
                <w:szCs w:val="17"/>
              </w:rPr>
            </w:pPr>
            <w:r w:rsidRPr="009B03EE">
              <w:rPr>
                <w:b/>
                <w:color w:val="990099"/>
                <w:sz w:val="17"/>
                <w:szCs w:val="17"/>
              </w:rPr>
              <w:t>Next Steps:</w:t>
            </w:r>
          </w:p>
          <w:p w14:paraId="00CF6DDF" w14:textId="062E8E3C" w:rsidR="00AA6105" w:rsidRPr="009B03EE" w:rsidRDefault="00AA6105" w:rsidP="001F2A14">
            <w:pPr>
              <w:shd w:val="clear" w:color="auto" w:fill="FFFFFF"/>
              <w:jc w:val="both"/>
              <w:rPr>
                <w:sz w:val="17"/>
                <w:szCs w:val="17"/>
              </w:rPr>
            </w:pPr>
            <w:r w:rsidRPr="009B03EE">
              <w:rPr>
                <w:sz w:val="17"/>
                <w:szCs w:val="17"/>
              </w:rPr>
              <w:t xml:space="preserve">Alongside any national or local reviews, there could be a criminal investigation, a coroner’s investigation and/or professional body disciplinary procedures. The panel </w:t>
            </w:r>
            <w:r w:rsidR="001F2A14" w:rsidRPr="009B03EE">
              <w:rPr>
                <w:sz w:val="17"/>
                <w:szCs w:val="17"/>
              </w:rPr>
              <w:t>and the</w:t>
            </w:r>
            <w:r w:rsidRPr="009B03EE">
              <w:rPr>
                <w:sz w:val="17"/>
                <w:szCs w:val="17"/>
              </w:rPr>
              <w:t xml:space="preserve"> safeguarding partners should have in place clear processes for how they contribute to with other investigations (including a domestic homicide review, multi-agency public protection arrangements, or safeguarding adult’s reviews), and collaborate with those</w:t>
            </w:r>
            <w:r w:rsidR="001F2A14" w:rsidRPr="009B03EE">
              <w:rPr>
                <w:sz w:val="17"/>
                <w:szCs w:val="17"/>
              </w:rPr>
              <w:t xml:space="preserve"> responsible for carrying them out. This will reduce the burdens on, and anxiety for, the children and families concerned as well as uncertainty and duplication of effort.</w:t>
            </w:r>
          </w:p>
        </w:tc>
      </w:tr>
    </w:tbl>
    <w:p w14:paraId="518B11A8" w14:textId="77777777" w:rsidR="00C10B3C" w:rsidRPr="00C10B3C" w:rsidRDefault="00C10B3C" w:rsidP="00C10B3C"/>
    <w:p w14:paraId="00AB6B91" w14:textId="6DF56696" w:rsidR="00C10B3C" w:rsidRPr="00C10B3C" w:rsidRDefault="00C10B3C" w:rsidP="00C10B3C">
      <w:pPr>
        <w:tabs>
          <w:tab w:val="left" w:pos="5145"/>
        </w:tabs>
      </w:pPr>
    </w:p>
    <w:sectPr w:rsidR="00C10B3C" w:rsidRPr="00C10B3C" w:rsidSect="00B2520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B4A"/>
    <w:multiLevelType w:val="multilevel"/>
    <w:tmpl w:val="80FA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C456D"/>
    <w:multiLevelType w:val="multilevel"/>
    <w:tmpl w:val="3208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F0319"/>
    <w:multiLevelType w:val="hybridMultilevel"/>
    <w:tmpl w:val="E782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D404B6"/>
    <w:multiLevelType w:val="hybridMultilevel"/>
    <w:tmpl w:val="BCB03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B5ACB"/>
    <w:multiLevelType w:val="multilevel"/>
    <w:tmpl w:val="D736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545A0B"/>
    <w:multiLevelType w:val="hybridMultilevel"/>
    <w:tmpl w:val="1F02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80273"/>
    <w:multiLevelType w:val="hybridMultilevel"/>
    <w:tmpl w:val="351C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63FBC"/>
    <w:multiLevelType w:val="hybridMultilevel"/>
    <w:tmpl w:val="9AE8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4A780C"/>
    <w:multiLevelType w:val="hybridMultilevel"/>
    <w:tmpl w:val="49DCC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4466320">
    <w:abstractNumId w:val="2"/>
  </w:num>
  <w:num w:numId="2" w16cid:durableId="1564292311">
    <w:abstractNumId w:val="4"/>
  </w:num>
  <w:num w:numId="3" w16cid:durableId="1106658451">
    <w:abstractNumId w:val="7"/>
  </w:num>
  <w:num w:numId="4" w16cid:durableId="1922521219">
    <w:abstractNumId w:val="0"/>
  </w:num>
  <w:num w:numId="5" w16cid:durableId="1433628915">
    <w:abstractNumId w:val="6"/>
  </w:num>
  <w:num w:numId="6" w16cid:durableId="1692875519">
    <w:abstractNumId w:val="1"/>
  </w:num>
  <w:num w:numId="7" w16cid:durableId="745498922">
    <w:abstractNumId w:val="8"/>
  </w:num>
  <w:num w:numId="8" w16cid:durableId="1757828084">
    <w:abstractNumId w:val="5"/>
  </w:num>
  <w:num w:numId="9" w16cid:durableId="907347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20D"/>
    <w:rsid w:val="000F5AFE"/>
    <w:rsid w:val="001A12E3"/>
    <w:rsid w:val="001F2A14"/>
    <w:rsid w:val="00237E4B"/>
    <w:rsid w:val="00306CC2"/>
    <w:rsid w:val="003407E1"/>
    <w:rsid w:val="003B630E"/>
    <w:rsid w:val="003D5BAA"/>
    <w:rsid w:val="003D5D7F"/>
    <w:rsid w:val="003F679B"/>
    <w:rsid w:val="0040084F"/>
    <w:rsid w:val="004B739C"/>
    <w:rsid w:val="005C0260"/>
    <w:rsid w:val="005E4FB9"/>
    <w:rsid w:val="005F06F2"/>
    <w:rsid w:val="0069564A"/>
    <w:rsid w:val="006D06E7"/>
    <w:rsid w:val="006E3238"/>
    <w:rsid w:val="007D51AE"/>
    <w:rsid w:val="00847DB2"/>
    <w:rsid w:val="0088175F"/>
    <w:rsid w:val="009B03EE"/>
    <w:rsid w:val="00A13188"/>
    <w:rsid w:val="00AA6105"/>
    <w:rsid w:val="00AE00DD"/>
    <w:rsid w:val="00B2520D"/>
    <w:rsid w:val="00B86A96"/>
    <w:rsid w:val="00BA23AA"/>
    <w:rsid w:val="00BA646F"/>
    <w:rsid w:val="00BC3608"/>
    <w:rsid w:val="00C10B3C"/>
    <w:rsid w:val="00C2047F"/>
    <w:rsid w:val="00C2519D"/>
    <w:rsid w:val="00D12723"/>
    <w:rsid w:val="00DE2042"/>
    <w:rsid w:val="00E3776A"/>
    <w:rsid w:val="00EA15D7"/>
    <w:rsid w:val="00F66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2335"/>
  <w15:chartTrackingRefBased/>
  <w15:docId w15:val="{D1C84255-AB00-4528-984B-7EEA5ED0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20D"/>
    <w:pPr>
      <w:ind w:left="720"/>
      <w:contextualSpacing/>
    </w:pPr>
  </w:style>
  <w:style w:type="character" w:styleId="Hyperlink">
    <w:name w:val="Hyperlink"/>
    <w:basedOn w:val="DefaultParagraphFont"/>
    <w:uiPriority w:val="99"/>
    <w:unhideWhenUsed/>
    <w:rsid w:val="00B2520D"/>
    <w:rPr>
      <w:color w:val="0563C1" w:themeColor="hyperlink"/>
      <w:u w:val="single"/>
    </w:rPr>
  </w:style>
  <w:style w:type="character" w:styleId="FollowedHyperlink">
    <w:name w:val="FollowedHyperlink"/>
    <w:basedOn w:val="DefaultParagraphFont"/>
    <w:uiPriority w:val="99"/>
    <w:semiHidden/>
    <w:unhideWhenUsed/>
    <w:rsid w:val="003407E1"/>
    <w:rPr>
      <w:color w:val="954F72" w:themeColor="followedHyperlink"/>
      <w:u w:val="single"/>
    </w:rPr>
  </w:style>
  <w:style w:type="character" w:customStyle="1" w:styleId="uv3um">
    <w:name w:val="uv3um"/>
    <w:basedOn w:val="DefaultParagraphFont"/>
    <w:rsid w:val="0088175F"/>
  </w:style>
  <w:style w:type="character" w:styleId="UnresolvedMention">
    <w:name w:val="Unresolved Mention"/>
    <w:basedOn w:val="DefaultParagraphFont"/>
    <w:uiPriority w:val="99"/>
    <w:semiHidden/>
    <w:unhideWhenUsed/>
    <w:rsid w:val="001F2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27356">
      <w:bodyDiv w:val="1"/>
      <w:marLeft w:val="0"/>
      <w:marRight w:val="0"/>
      <w:marTop w:val="0"/>
      <w:marBottom w:val="0"/>
      <w:divBdr>
        <w:top w:val="none" w:sz="0" w:space="0" w:color="auto"/>
        <w:left w:val="none" w:sz="0" w:space="0" w:color="auto"/>
        <w:bottom w:val="none" w:sz="0" w:space="0" w:color="auto"/>
        <w:right w:val="none" w:sz="0" w:space="0" w:color="auto"/>
      </w:divBdr>
    </w:div>
    <w:div w:id="580061619">
      <w:bodyDiv w:val="1"/>
      <w:marLeft w:val="0"/>
      <w:marRight w:val="0"/>
      <w:marTop w:val="0"/>
      <w:marBottom w:val="0"/>
      <w:divBdr>
        <w:top w:val="none" w:sz="0" w:space="0" w:color="auto"/>
        <w:left w:val="none" w:sz="0" w:space="0" w:color="auto"/>
        <w:bottom w:val="none" w:sz="0" w:space="0" w:color="auto"/>
        <w:right w:val="none" w:sz="0" w:space="0" w:color="auto"/>
      </w:divBdr>
    </w:div>
    <w:div w:id="1540122050">
      <w:bodyDiv w:val="1"/>
      <w:marLeft w:val="0"/>
      <w:marRight w:val="0"/>
      <w:marTop w:val="0"/>
      <w:marBottom w:val="0"/>
      <w:divBdr>
        <w:top w:val="none" w:sz="0" w:space="0" w:color="auto"/>
        <w:left w:val="none" w:sz="0" w:space="0" w:color="auto"/>
        <w:bottom w:val="none" w:sz="0" w:space="0" w:color="auto"/>
        <w:right w:val="none" w:sz="0" w:space="0" w:color="auto"/>
      </w:divBdr>
      <w:divsChild>
        <w:div w:id="648019978">
          <w:marLeft w:val="0"/>
          <w:marRight w:val="0"/>
          <w:marTop w:val="0"/>
          <w:marBottom w:val="0"/>
          <w:divBdr>
            <w:top w:val="none" w:sz="0" w:space="0" w:color="auto"/>
            <w:left w:val="none" w:sz="0" w:space="0" w:color="auto"/>
            <w:bottom w:val="none" w:sz="0" w:space="0" w:color="auto"/>
            <w:right w:val="none" w:sz="0" w:space="0" w:color="auto"/>
          </w:divBdr>
          <w:divsChild>
            <w:div w:id="1490173223">
              <w:marLeft w:val="0"/>
              <w:marRight w:val="0"/>
              <w:marTop w:val="0"/>
              <w:marBottom w:val="0"/>
              <w:divBdr>
                <w:top w:val="none" w:sz="0" w:space="0" w:color="auto"/>
                <w:left w:val="none" w:sz="0" w:space="0" w:color="auto"/>
                <w:bottom w:val="none" w:sz="0" w:space="0" w:color="auto"/>
                <w:right w:val="none" w:sz="0" w:space="0" w:color="auto"/>
              </w:divBdr>
              <w:divsChild>
                <w:div w:id="10615622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7172917">
          <w:marLeft w:val="0"/>
          <w:marRight w:val="0"/>
          <w:marTop w:val="0"/>
          <w:marBottom w:val="0"/>
          <w:divBdr>
            <w:top w:val="none" w:sz="0" w:space="0" w:color="auto"/>
            <w:left w:val="none" w:sz="0" w:space="0" w:color="auto"/>
            <w:bottom w:val="none" w:sz="0" w:space="0" w:color="auto"/>
            <w:right w:val="none" w:sz="0" w:space="0" w:color="auto"/>
          </w:divBdr>
          <w:divsChild>
            <w:div w:id="2371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3418">
      <w:bodyDiv w:val="1"/>
      <w:marLeft w:val="0"/>
      <w:marRight w:val="0"/>
      <w:marTop w:val="0"/>
      <w:marBottom w:val="0"/>
      <w:divBdr>
        <w:top w:val="none" w:sz="0" w:space="0" w:color="auto"/>
        <w:left w:val="none" w:sz="0" w:space="0" w:color="auto"/>
        <w:bottom w:val="none" w:sz="0" w:space="0" w:color="auto"/>
        <w:right w:val="none" w:sz="0" w:space="0" w:color="auto"/>
      </w:divBdr>
      <w:divsChild>
        <w:div w:id="1819496250">
          <w:marLeft w:val="0"/>
          <w:marRight w:val="0"/>
          <w:marTop w:val="0"/>
          <w:marBottom w:val="0"/>
          <w:divBdr>
            <w:top w:val="none" w:sz="0" w:space="0" w:color="auto"/>
            <w:left w:val="none" w:sz="0" w:space="0" w:color="auto"/>
            <w:bottom w:val="none" w:sz="0" w:space="0" w:color="auto"/>
            <w:right w:val="none" w:sz="0" w:space="0" w:color="auto"/>
          </w:divBdr>
          <w:divsChild>
            <w:div w:id="2066366314">
              <w:marLeft w:val="0"/>
              <w:marRight w:val="0"/>
              <w:marTop w:val="0"/>
              <w:marBottom w:val="0"/>
              <w:divBdr>
                <w:top w:val="none" w:sz="0" w:space="0" w:color="auto"/>
                <w:left w:val="none" w:sz="0" w:space="0" w:color="auto"/>
                <w:bottom w:val="none" w:sz="0" w:space="0" w:color="auto"/>
                <w:right w:val="none" w:sz="0" w:space="0" w:color="auto"/>
              </w:divBdr>
              <w:divsChild>
                <w:div w:id="20583179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45428746">
          <w:marLeft w:val="0"/>
          <w:marRight w:val="0"/>
          <w:marTop w:val="0"/>
          <w:marBottom w:val="0"/>
          <w:divBdr>
            <w:top w:val="none" w:sz="0" w:space="0" w:color="auto"/>
            <w:left w:val="none" w:sz="0" w:space="0" w:color="auto"/>
            <w:bottom w:val="none" w:sz="0" w:space="0" w:color="auto"/>
            <w:right w:val="none" w:sz="0" w:space="0" w:color="auto"/>
          </w:divBdr>
          <w:divsChild>
            <w:div w:id="21130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box.NationalReviewPanel@education.gov.uk" TargetMode="External"/><Relationship Id="rId3" Type="http://schemas.openxmlformats.org/officeDocument/2006/relationships/settings" Target="settings.xml"/><Relationship Id="rId7" Type="http://schemas.openxmlformats.org/officeDocument/2006/relationships/hyperlink" Target="https://rochdalesafeguarding.com/rbsp/p/about-us/rapid-revi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media/669e7501ab418ab055592a7b/Working_together_to_safeguard_children_2023.pdf" TargetMode="External"/><Relationship Id="rId5" Type="http://schemas.openxmlformats.org/officeDocument/2006/relationships/hyperlink" Target="https://assets.publishing.service.gov.uk/media/669e7501ab418ab055592a7b/Working_together_to_safeguard_children_2023.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847</Words>
  <Characters>4832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Hogan</dc:creator>
  <cp:keywords/>
  <dc:description/>
  <cp:lastModifiedBy>Lauren Hayes</cp:lastModifiedBy>
  <cp:revision>2</cp:revision>
  <dcterms:created xsi:type="dcterms:W3CDTF">2026-01-16T15:08:00Z</dcterms:created>
  <dcterms:modified xsi:type="dcterms:W3CDTF">2026-01-16T15:08:00Z</dcterms:modified>
</cp:coreProperties>
</file>